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rPr>
          <w:rFonts w:ascii="Times New Roman" w:hAnsi="Times New Roman" w:cs="Times New Roman"/>
          <w:b/>
          <w:bCs/>
        </w:rPr>
      </w:pPr>
      <w:r>
        <w:rPr>
          <w:rFonts w:ascii="Times New Roman" w:hAnsi="Times New Roman" w:cs="Times New Roman"/>
          <w:b/>
          <w:bCs/>
        </w:rPr>
        <w:t>3GPP TSG</w:t>
      </w:r>
      <w:r>
        <w:rPr>
          <w:rFonts w:ascii="Times New Roman" w:hAnsi="Times New Roman" w:cs="Times New Roman"/>
          <w:b/>
          <w:bCs/>
          <w:lang w:eastAsia="zh-CN"/>
        </w:rPr>
        <w:t xml:space="preserve"> </w:t>
      </w:r>
      <w:r>
        <w:rPr>
          <w:rFonts w:ascii="Times New Roman" w:hAnsi="Times New Roman" w:cs="Times New Roman"/>
          <w:b/>
          <w:bCs/>
        </w:rPr>
        <w:t>RAN WG1 #11</w:t>
      </w:r>
      <w:r>
        <w:rPr>
          <w:rFonts w:ascii="Times New Roman" w:hAnsi="Times New Roman" w:cs="Times New Roman"/>
          <w:b/>
          <w:bCs/>
          <w:lang w:eastAsia="zh-CN"/>
        </w:rPr>
        <w:t>6</w:t>
      </w:r>
      <w:r>
        <w:rPr>
          <w:rFonts w:ascii="Times New Roman" w:hAnsi="Times New Roman" w:cs="Times New Roman"/>
          <w:b/>
          <w:bCs/>
        </w:rPr>
        <w:t xml:space="preserve">                                          </w:t>
      </w:r>
      <w:r>
        <w:rPr>
          <w:rFonts w:ascii="Times New Roman" w:hAnsi="Times New Roman" w:cs="Times New Roman"/>
          <w:b/>
          <w:bCs/>
          <w:lang w:eastAsia="zh-CN"/>
        </w:rPr>
        <w:t xml:space="preserve">      </w:t>
      </w:r>
      <w:r>
        <w:rPr>
          <w:rFonts w:ascii="Times New Roman" w:hAnsi="Times New Roman" w:cs="Times New Roman"/>
          <w:b/>
          <w:bCs/>
        </w:rPr>
        <w:t xml:space="preserve">R1-2400360                                                                                     </w:t>
      </w:r>
    </w:p>
    <w:p>
      <w:pPr>
        <w:rPr>
          <w:rFonts w:ascii="Times New Roman" w:hAnsi="Times New Roman" w:eastAsia="MS Mincho" w:cs="Times New Roman"/>
          <w:b/>
          <w:bCs/>
          <w:lang w:eastAsia="zh-CN"/>
        </w:rPr>
      </w:pPr>
      <w:bookmarkStart w:id="0" w:name="OLE_LINK33"/>
      <w:bookmarkStart w:id="1" w:name="OLE_LINK34"/>
      <w:r>
        <w:rPr>
          <w:rFonts w:ascii="Times New Roman" w:hAnsi="Times New Roman" w:eastAsia="MS Mincho" w:cs="Times New Roman"/>
          <w:b/>
          <w:bCs/>
        </w:rPr>
        <w:t>Athens, Greece, February 26</w:t>
      </w:r>
      <w:r>
        <w:rPr>
          <w:rFonts w:ascii="Times New Roman" w:hAnsi="Times New Roman" w:eastAsia="Malgun Gothic" w:cs="Times New Roman"/>
          <w:b/>
          <w:bCs/>
          <w:vertAlign w:val="superscript"/>
        </w:rPr>
        <w:t>th</w:t>
      </w:r>
      <w:r>
        <w:rPr>
          <w:rFonts w:ascii="Times New Roman" w:hAnsi="Times New Roman" w:eastAsia="MS Mincho" w:cs="Times New Roman"/>
          <w:b/>
          <w:bCs/>
        </w:rPr>
        <w:t xml:space="preserve"> </w:t>
      </w:r>
      <w:r>
        <w:rPr>
          <w:rFonts w:ascii="Times New Roman" w:hAnsi="Times New Roman" w:cs="Times New Roman"/>
          <w:b/>
          <w:bCs/>
        </w:rPr>
        <w:t>– March 1</w:t>
      </w:r>
      <w:r>
        <w:rPr>
          <w:rFonts w:ascii="Times New Roman" w:hAnsi="Times New Roman" w:cs="Times New Roman"/>
          <w:b/>
          <w:bCs/>
          <w:vertAlign w:val="superscript"/>
        </w:rPr>
        <w:t>st</w:t>
      </w:r>
      <w:r>
        <w:rPr>
          <w:rFonts w:ascii="Times New Roman" w:hAnsi="Times New Roman" w:eastAsia="MS Mincho" w:cs="Times New Roman"/>
          <w:b/>
          <w:bCs/>
        </w:rPr>
        <w:t>, 2024</w:t>
      </w:r>
    </w:p>
    <w:p>
      <w:pPr>
        <w:pStyle w:val="80"/>
        <w:jc w:val="both"/>
        <w:rPr>
          <w:rFonts w:ascii="Times New Roman" w:hAnsi="Times New Roman" w:eastAsia="宋体" w:cs="Times New Roman"/>
          <w:b/>
          <w:bCs/>
          <w:lang w:eastAsia="zh-CN"/>
        </w:rPr>
      </w:pPr>
    </w:p>
    <w:p>
      <w:pPr>
        <w:pStyle w:val="49"/>
        <w:tabs>
          <w:tab w:val="clear" w:pos="4536"/>
        </w:tabs>
        <w:jc w:val="both"/>
        <w:rPr>
          <w:rFonts w:ascii="Times New Roman" w:hAnsi="Times New Roman" w:cs="Times New Roman"/>
          <w:szCs w:val="22"/>
        </w:rPr>
      </w:pPr>
      <w:r>
        <w:rPr>
          <w:rFonts w:ascii="Times New Roman" w:hAnsi="Times New Roman" w:cs="Times New Roman"/>
          <w:szCs w:val="22"/>
        </w:rPr>
        <w:t>Source:          TCL</w:t>
      </w:r>
    </w:p>
    <w:p>
      <w:pPr>
        <w:pStyle w:val="49"/>
        <w:tabs>
          <w:tab w:val="clear" w:pos="4536"/>
        </w:tabs>
        <w:jc w:val="both"/>
        <w:rPr>
          <w:rFonts w:ascii="Times New Roman" w:hAnsi="Times New Roman" w:cs="Times New Roman"/>
          <w:szCs w:val="22"/>
        </w:rPr>
      </w:pPr>
      <w:r>
        <w:rPr>
          <w:rFonts w:ascii="Times New Roman" w:hAnsi="Times New Roman" w:cs="Times New Roman"/>
          <w:szCs w:val="22"/>
        </w:rPr>
        <w:t>Title:            Enabling Tx/Rx for XR during RRM measurements</w:t>
      </w:r>
    </w:p>
    <w:p>
      <w:pPr>
        <w:pStyle w:val="49"/>
        <w:tabs>
          <w:tab w:val="clear" w:pos="4536"/>
        </w:tabs>
        <w:jc w:val="both"/>
        <w:rPr>
          <w:rFonts w:ascii="Times New Roman" w:hAnsi="Times New Roman" w:cs="Times New Roman"/>
          <w:szCs w:val="22"/>
        </w:rPr>
      </w:pPr>
      <w:r>
        <w:rPr>
          <w:rFonts w:ascii="Times New Roman" w:hAnsi="Times New Roman" w:cs="Times New Roman"/>
          <w:szCs w:val="22"/>
        </w:rPr>
        <w:t>Agenda item:     9.10.1</w:t>
      </w:r>
    </w:p>
    <w:p>
      <w:pPr>
        <w:pStyle w:val="49"/>
        <w:tabs>
          <w:tab w:val="clear" w:pos="4536"/>
        </w:tabs>
        <w:jc w:val="both"/>
        <w:rPr>
          <w:rFonts w:ascii="Times New Roman" w:hAnsi="Times New Roman" w:cs="Times New Roman"/>
          <w:szCs w:val="22"/>
        </w:rPr>
      </w:pPr>
      <w:r>
        <w:rPr>
          <w:rFonts w:ascii="Times New Roman" w:hAnsi="Times New Roman" w:cs="Times New Roman"/>
          <w:szCs w:val="22"/>
        </w:rPr>
        <w:t>Document for:    Discussion and Decision</w:t>
      </w:r>
      <w:bookmarkEnd w:id="0"/>
      <w:bookmarkEnd w:id="1"/>
    </w:p>
    <w:p>
      <w:pPr>
        <w:pBdr>
          <w:bottom w:val="single" w:color="auto" w:sz="4" w:space="1"/>
        </w:pBdr>
        <w:tabs>
          <w:tab w:val="left" w:pos="2552"/>
        </w:tabs>
        <w:jc w:val="both"/>
        <w:rPr>
          <w:rFonts w:ascii="Times New Roman" w:hAnsi="Times New Roman" w:cs="Times New Roman"/>
        </w:rPr>
      </w:pPr>
    </w:p>
    <w:p>
      <w:pPr>
        <w:pStyle w:val="3"/>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宋体" w:cs="Times New Roman"/>
          <w:sz w:val="22"/>
          <w:szCs w:val="22"/>
        </w:rPr>
      </w:pPr>
      <w:r>
        <w:rPr>
          <w:rFonts w:ascii="Times New Roman" w:hAnsi="Times New Roman" w:eastAsia="黑体" w:cs="Times New Roman"/>
          <w:b/>
          <w:bCs/>
          <w:color w:val="auto"/>
          <w:sz w:val="22"/>
          <w:szCs w:val="22"/>
        </w:rPr>
        <w:t>Introduction</w:t>
      </w:r>
    </w:p>
    <w:p>
      <w:pPr>
        <w:widowControl w:val="0"/>
        <w:spacing w:after="120"/>
        <w:jc w:val="both"/>
        <w:rPr>
          <w:rFonts w:ascii="Times New Roman" w:hAnsi="Times New Roman" w:cs="Times New Roman"/>
          <w:lang w:eastAsia="zh-CN"/>
        </w:rPr>
      </w:pPr>
      <w:r>
        <w:rPr>
          <w:rFonts w:ascii="Times New Roman" w:hAnsi="Times New Roman" w:cs="Times New Roman"/>
        </w:rPr>
        <w:t>In</w:t>
      </w:r>
      <w:r>
        <w:rPr>
          <w:rFonts w:ascii="Times New Roman" w:hAnsi="Times New Roman" w:cs="Times New Roman"/>
          <w:lang w:eastAsia="zh-CN"/>
        </w:rPr>
        <w:t xml:space="preserve"> the </w:t>
      </w:r>
      <w:r>
        <w:rPr>
          <w:rFonts w:ascii="Times New Roman" w:hAnsi="Times New Roman" w:cs="Times New Roman"/>
        </w:rPr>
        <w:t>RAN #</w:t>
      </w:r>
      <w:r>
        <w:rPr>
          <w:rFonts w:ascii="Times New Roman" w:hAnsi="Times New Roman" w:cs="Times New Roman"/>
          <w:lang w:eastAsia="zh-CN"/>
        </w:rPr>
        <w:t xml:space="preserve">102 </w:t>
      </w:r>
      <w:r>
        <w:rPr>
          <w:rFonts w:ascii="Times New Roman" w:hAnsi="Times New Roman" w:cs="Times New Roman"/>
        </w:rPr>
        <w:t xml:space="preserve">meeting [1], </w:t>
      </w:r>
      <w:r>
        <w:rPr>
          <w:rFonts w:ascii="Times New Roman" w:hAnsi="Times New Roman" w:cs="Times New Roman"/>
          <w:lang w:eastAsia="zh-CN"/>
        </w:rPr>
        <w:t>a new WID for XR capacity enhancement has been approved</w:t>
      </w:r>
      <w:r>
        <w:rPr>
          <w:rFonts w:ascii="Times New Roman" w:hAnsi="Times New Roman" w:cs="Times New Roman"/>
        </w:rPr>
        <w:t xml:space="preserve">, and </w:t>
      </w:r>
      <w:r>
        <w:rPr>
          <w:rFonts w:ascii="Times New Roman" w:hAnsi="Times New Roman" w:cs="Times New Roman"/>
          <w:lang w:eastAsia="zh-CN"/>
        </w:rPr>
        <w:t>the scope of XR were shown in the following</w:t>
      </w:r>
      <w:r>
        <w:rPr>
          <w:rFonts w:ascii="Times New Roman" w:hAnsi="Times New Roman" w:cs="Times New Roman"/>
        </w:rPr>
        <w:t>:</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pPr>
              <w:pStyle w:val="195"/>
              <w:jc w:val="both"/>
              <w:rPr>
                <w:i w:val="0"/>
                <w:iCs/>
              </w:rPr>
            </w:pPr>
            <w:r>
              <w:rPr>
                <w:i w:val="0"/>
                <w:iCs/>
              </w:rPr>
              <w:t>The Rel-19 XR ph3 objectives are as follows:</w:t>
            </w:r>
          </w:p>
          <w:p>
            <w:pPr>
              <w:pStyle w:val="195"/>
              <w:numPr>
                <w:ilvl w:val="0"/>
                <w:numId w:val="16"/>
              </w:numPr>
              <w:jc w:val="both"/>
              <w:rPr>
                <w:i w:val="0"/>
                <w:iCs/>
              </w:rPr>
            </w:pPr>
            <w:r>
              <w:rPr>
                <w:i w:val="0"/>
                <w:iCs/>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t xml:space="preserve"> </w:t>
            </w:r>
            <w:r>
              <w:rPr>
                <w:i w:val="0"/>
                <w:iCs/>
              </w:rPr>
              <w:t xml:space="preserve">[RAN2]. </w:t>
            </w:r>
          </w:p>
          <w:p>
            <w:pPr>
              <w:pStyle w:val="195"/>
              <w:numPr>
                <w:ilvl w:val="1"/>
                <w:numId w:val="16"/>
              </w:numPr>
              <w:jc w:val="both"/>
              <w:rPr>
                <w:i w:val="0"/>
                <w:iCs/>
              </w:rPr>
            </w:pPr>
            <w:r>
              <w:rPr>
                <w:i w:val="0"/>
                <w:iCs/>
              </w:rPr>
              <w:t>Note: Check in RAN#105 (check also other WG involvement if needed).</w:t>
            </w:r>
          </w:p>
          <w:p>
            <w:pPr>
              <w:pStyle w:val="195"/>
              <w:numPr>
                <w:ilvl w:val="0"/>
                <w:numId w:val="16"/>
              </w:numPr>
              <w:jc w:val="both"/>
              <w:rPr>
                <w:i w:val="0"/>
                <w:iCs/>
              </w:rPr>
            </w:pPr>
            <w:r>
              <w:rPr>
                <w:i w:val="0"/>
                <w:iCs/>
              </w:rPr>
              <w:t>Specify enhancements to enable transmission/reception in gaps/restrictions that are caused by RRM measurements (from inter-frequency RRM measurement gaps, or intra-frequency measurements, or other scheduling restrictions etc). [RAN1, RAN2, RAN4]</w:t>
            </w:r>
          </w:p>
          <w:p>
            <w:pPr>
              <w:pStyle w:val="195"/>
              <w:numPr>
                <w:ilvl w:val="0"/>
                <w:numId w:val="17"/>
              </w:numPr>
              <w:jc w:val="both"/>
              <w:rPr>
                <w:i w:val="0"/>
                <w:iCs/>
              </w:rPr>
            </w:pPr>
            <w:r>
              <w:rPr>
                <w:i w:val="0"/>
                <w:iCs/>
              </w:rPr>
              <w:t>Specify the corresponding measurement gap and scheduling restriction to enable the identified enhancements with RRM performance impact taken into consideration, work being triggered by LS. [RAN4]</w:t>
            </w:r>
          </w:p>
          <w:p>
            <w:pPr>
              <w:numPr>
                <w:ilvl w:val="0"/>
                <w:numId w:val="16"/>
              </w:numPr>
              <w:overflowPunct w:val="0"/>
              <w:autoSpaceDE w:val="0"/>
              <w:autoSpaceDN w:val="0"/>
              <w:adjustRightInd w:val="0"/>
              <w:snapToGri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Specify Enhancements for Scheduling, as follows: </w:t>
            </w:r>
          </w:p>
          <w:p>
            <w:pPr>
              <w:numPr>
                <w:ilvl w:val="1"/>
                <w:numId w:val="16"/>
              </w:numPr>
              <w:overflowPunct w:val="0"/>
              <w:autoSpaceDE w:val="0"/>
              <w:autoSpaceDN w:val="0"/>
              <w:adjustRightInd w:val="0"/>
              <w:snapToGri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For the UL, Study and if justified, Specify enhancements using delay/deadline information, for support of UL scheduling to enable high XR capacity while meeting delay requirements/avoiding too late PDUs. [RAN2].</w:t>
            </w:r>
          </w:p>
          <w:p>
            <w:pPr>
              <w:numPr>
                <w:ilvl w:val="2"/>
                <w:numId w:val="16"/>
              </w:numPr>
              <w:overflowPunct w:val="0"/>
              <w:autoSpaceDE w:val="0"/>
              <w:autoSpaceDN w:val="0"/>
              <w:adjustRightInd w:val="0"/>
              <w:snapToGri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Note: LCP implementation complexity need to be taken into account when evaluating solutions.</w:t>
            </w:r>
          </w:p>
          <w:p>
            <w:pPr>
              <w:numPr>
                <w:ilvl w:val="2"/>
                <w:numId w:val="16"/>
              </w:numPr>
              <w:overflowPunct w:val="0"/>
              <w:autoSpaceDE w:val="0"/>
              <w:autoSpaceDN w:val="0"/>
              <w:adjustRightInd w:val="0"/>
              <w:snapToGri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Note: Check in RAN#105</w:t>
            </w:r>
          </w:p>
          <w:p>
            <w:pPr>
              <w:numPr>
                <w:ilvl w:val="0"/>
                <w:numId w:val="16"/>
              </w:numPr>
              <w:overflowPunct w:val="0"/>
              <w:autoSpaceDE w:val="0"/>
              <w:autoSpaceDN w:val="0"/>
              <w:adjustRightInd w:val="0"/>
              <w:snapToGri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Specify the following user plane enhancements [RAN2]</w:t>
            </w:r>
          </w:p>
          <w:p>
            <w:pPr>
              <w:numPr>
                <w:ilvl w:val="1"/>
                <w:numId w:val="16"/>
              </w:numPr>
              <w:overflowPunct w:val="0"/>
              <w:autoSpaceDE w:val="0"/>
              <w:autoSpaceDN w:val="0"/>
              <w:adjustRightInd w:val="0"/>
              <w:snapToGrid w:val="0"/>
              <w:spacing w:after="180" w:line="240" w:lineRule="auto"/>
              <w:textAlignment w:val="baseline"/>
              <w:rPr>
                <w:rFonts w:ascii="Times New Roman" w:hAnsi="Times New Roman" w:cs="Times New Roman"/>
                <w:sz w:val="20"/>
                <w:szCs w:val="20"/>
              </w:rPr>
            </w:pPr>
            <w:r>
              <w:rPr>
                <w:rFonts w:ascii="Times New Roman" w:hAnsi="Times New Roman" w:cs="Times New Roman"/>
                <w:iCs/>
                <w:sz w:val="20"/>
                <w:szCs w:val="20"/>
              </w:rPr>
              <w:t xml:space="preserve">RLC re-transmission related enhancements for operation of RLC Acknowledged Mode (AM) with small packet delay budget. </w:t>
            </w:r>
          </w:p>
          <w:p>
            <w:pPr>
              <w:numPr>
                <w:ilvl w:val="1"/>
                <w:numId w:val="16"/>
              </w:numPr>
              <w:overflowPunct w:val="0"/>
              <w:autoSpaceDE w:val="0"/>
              <w:autoSpaceDN w:val="0"/>
              <w:adjustRightInd w:val="0"/>
              <w:snapToGrid w:val="0"/>
              <w:spacing w:after="180" w:line="240" w:lineRule="auto"/>
              <w:textAlignment w:val="baseline"/>
              <w:rPr>
                <w:rFonts w:ascii="Times New Roman" w:hAnsi="Times New Roman" w:cs="Times New Roman"/>
              </w:rPr>
            </w:pPr>
            <w:r>
              <w:rPr>
                <w:rFonts w:ascii="Times New Roman" w:hAnsi="Times New Roman" w:cs="Times New Roman"/>
                <w:sz w:val="20"/>
                <w:szCs w:val="20"/>
              </w:rPr>
              <w:t>If justified, define a mechanism for transmitter to inform the receiver of SN gap (or missing SNs) in PDCP.</w:t>
            </w:r>
          </w:p>
          <w:p>
            <w:pPr>
              <w:numPr>
                <w:ilvl w:val="0"/>
                <w:numId w:val="18"/>
              </w:numPr>
              <w:overflowPunct w:val="0"/>
              <w:autoSpaceDE w:val="0"/>
              <w:autoSpaceDN w:val="0"/>
              <w:adjustRightInd w:val="0"/>
              <w:spacing w:after="0" w:line="240" w:lineRule="auto"/>
              <w:rPr>
                <w:rFonts w:ascii="Times New Roman" w:hAnsi="Times New Roman" w:cs="Times New Roman"/>
                <w:bCs/>
                <w:sz w:val="20"/>
                <w:szCs w:val="20"/>
              </w:rPr>
            </w:pPr>
            <w:r>
              <w:rPr>
                <w:rFonts w:ascii="Times New Roman" w:hAnsi="Times New Roman" w:cs="Times New Roman"/>
                <w:bCs/>
                <w:sz w:val="20"/>
                <w:szCs w:val="20"/>
              </w:rPr>
              <w:t>Specify Core requirements related to the above objectives as necessary [RAN4]</w:t>
            </w:r>
          </w:p>
        </w:tc>
      </w:tr>
    </w:tbl>
    <w:p>
      <w:pPr>
        <w:rPr>
          <w:rFonts w:ascii="Times New Roman" w:hAnsi="Times New Roman" w:cs="Times New Roman"/>
          <w:bCs/>
          <w:szCs w:val="20"/>
          <w:lang w:eastAsia="ja-JP"/>
        </w:rPr>
      </w:pPr>
    </w:p>
    <w:p>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Pr>
          <w:rFonts w:ascii="Times New Roman" w:hAnsi="Times New Roman" w:cs="Times New Roman"/>
        </w:rPr>
        <w:t xml:space="preserve">In this contribution, we mainly provide our views on enabling Tx/Rx for XR during RRM measurements. </w:t>
      </w:r>
    </w:p>
    <w:p>
      <w:pPr>
        <w:pStyle w:val="3"/>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Discussion</w:t>
      </w:r>
    </w:p>
    <w:p>
      <w:pPr>
        <w:pStyle w:val="30"/>
        <w:ind w:left="24"/>
        <w:rPr>
          <w:rFonts w:cs="Times New Roman"/>
          <w:color w:val="000000" w:themeColor="text1"/>
          <w:sz w:val="22"/>
          <w:lang w:eastAsia="zh-CN"/>
          <w14:textFill>
            <w14:solidFill>
              <w14:schemeClr w14:val="tx1"/>
            </w14:solidFill>
          </w14:textFill>
        </w:rPr>
      </w:pPr>
      <w:bookmarkStart w:id="2" w:name="OLE_LINK4"/>
      <w:bookmarkStart w:id="3" w:name="OLE_LINK3"/>
      <w:r>
        <w:rPr>
          <w:rFonts w:cs="Times New Roman"/>
          <w:color w:val="000000" w:themeColor="text1"/>
          <w:sz w:val="22"/>
          <w:lang w:eastAsia="zh-CN"/>
          <w14:textFill>
            <w14:solidFill>
              <w14:schemeClr w14:val="tx1"/>
            </w14:solidFill>
          </w14:textFill>
        </w:rPr>
        <w:t>Traffic characteristics of XR services were intensively studied</w:t>
      </w:r>
      <w:r>
        <w:rPr>
          <w:rFonts w:cs="Times New Roman"/>
          <w:color w:val="000000" w:themeColor="text1"/>
          <w:sz w:val="22"/>
          <w14:textFill>
            <w14:solidFill>
              <w14:schemeClr w14:val="tx1"/>
            </w14:solidFill>
          </w14:textFill>
        </w:rPr>
        <w:t xml:space="preserve"> </w:t>
      </w:r>
      <w:r>
        <w:rPr>
          <w:rFonts w:cs="Times New Roman"/>
          <w:color w:val="000000" w:themeColor="text1"/>
          <w:sz w:val="22"/>
          <w:lang w:eastAsia="zh-CN"/>
          <w14:textFill>
            <w14:solidFill>
              <w14:schemeClr w14:val="tx1"/>
            </w14:solidFill>
          </w14:textFill>
        </w:rPr>
        <w:t>in the Rel-17 RAN1 meetings, and the DL/UL traffic models for the video stream and Pose/control for XR and cloud gaming services were agreed. Based on the outcomes of the studies so far, the following characteristics [2] of the XR traffic are identified and should be considered for the potential enhancements of NR to support XR.</w:t>
      </w:r>
    </w:p>
    <w:p>
      <w:pPr>
        <w:pStyle w:val="30"/>
        <w:widowControl/>
        <w:numPr>
          <w:ilvl w:val="0"/>
          <w:numId w:val="19"/>
        </w:numPr>
        <w:spacing w:before="120" w:after="120"/>
        <w:rPr>
          <w:rFonts w:cs="Times New Roman"/>
          <w:color w:val="000000" w:themeColor="text1"/>
          <w:sz w:val="22"/>
          <w14:textFill>
            <w14:solidFill>
              <w14:schemeClr w14:val="tx1"/>
            </w14:solidFill>
          </w14:textFill>
        </w:rPr>
      </w:pPr>
      <w:r>
        <w:rPr>
          <w:rFonts w:cs="Times New Roman"/>
          <w:b/>
          <w:color w:val="000000" w:themeColor="text1"/>
          <w:sz w:val="22"/>
          <w:lang w:eastAsia="zh-CN"/>
          <w14:textFill>
            <w14:solidFill>
              <w14:schemeClr w14:val="tx1"/>
            </w14:solidFill>
          </w14:textFill>
        </w:rPr>
        <w:t>Non-integer periodicity</w:t>
      </w:r>
    </w:p>
    <w:p>
      <w:pPr>
        <w:pStyle w:val="30"/>
        <w:widowControl/>
        <w:spacing w:after="120"/>
        <w:rPr>
          <w:rFonts w:cs="Times New Roman"/>
          <w:sz w:val="22"/>
        </w:rPr>
      </w:pPr>
      <w:r>
        <w:rPr>
          <w:rFonts w:cs="Times New Roman"/>
          <w:color w:val="auto"/>
          <w:sz w:val="22"/>
        </w:rPr>
        <w:t xml:space="preserve">In RAN1 meetings of Rel-17, it was agreed that 60 frame per second (fps) is baseline for both DL and UL video stream and 30 fps, 90 fps as well as 120 fps can be also optionally evaluated. Based on the arrival time of packet with 30 fps, 60fps, 90fps, 120fps per second, the corresponding periodicities are {33.33ms, 16.67ms, 11.11ms, 8.33ms} respectively. It’s not an integer periodic of symbol or slot. </w:t>
      </w:r>
    </w:p>
    <w:p>
      <w:pPr>
        <w:pStyle w:val="30"/>
        <w:widowControl/>
        <w:numPr>
          <w:ilvl w:val="0"/>
          <w:numId w:val="19"/>
        </w:numPr>
        <w:spacing w:after="120"/>
        <w:rPr>
          <w:rFonts w:cs="Times New Roman"/>
          <w:b/>
          <w:color w:val="000000" w:themeColor="text1"/>
          <w:sz w:val="22"/>
          <w:lang w:eastAsia="zh-CN"/>
          <w14:textFill>
            <w14:solidFill>
              <w14:schemeClr w14:val="tx1"/>
            </w14:solidFill>
          </w14:textFill>
        </w:rPr>
      </w:pPr>
      <w:r>
        <w:rPr>
          <w:rFonts w:cs="Times New Roman"/>
          <w:b/>
          <w:color w:val="000000" w:themeColor="text1"/>
          <w:sz w:val="22"/>
          <w:lang w:eastAsia="zh-CN"/>
          <w14:textFill>
            <w14:solidFill>
              <w14:schemeClr w14:val="tx1"/>
            </w14:solidFill>
          </w14:textFill>
        </w:rPr>
        <w:t>Jitter of packet arrival time</w:t>
      </w:r>
    </w:p>
    <w:p>
      <w:pPr>
        <w:pStyle w:val="30"/>
        <w:widowControl/>
        <w:spacing w:after="120"/>
        <w:rPr>
          <w:rFonts w:cs="Times New Roman"/>
          <w:color w:val="000000" w:themeColor="text1"/>
          <w:sz w:val="22"/>
          <w:lang w:eastAsia="zh-CN"/>
          <w14:textFill>
            <w14:solidFill>
              <w14:schemeClr w14:val="tx1"/>
            </w14:solidFill>
          </w14:textFill>
        </w:rPr>
      </w:pPr>
      <w:r>
        <w:rPr>
          <w:rFonts w:cs="Times New Roman"/>
          <w:color w:val="000000" w:themeColor="text1"/>
          <w:sz w:val="22"/>
          <w:lang w:eastAsia="zh-CN"/>
          <w14:textFill>
            <w14:solidFill>
              <w14:schemeClr w14:val="tx1"/>
            </w14:solidFill>
          </w14:textFill>
        </w:rPr>
        <w:t xml:space="preserve">As agreed in RAN1 meeting in Rel-17, a truncated Gaussian distribution is used to model the jitter of DL and UL video stream for XR services. The range of jitter is agreed to be [-4, 4]ms (baseline) and [-5, 5]ms (optional). This means the XR packets may arrive at gNB or UE within a time window of total 8ms or 10ms length, and the exact arrival time is not known in advance. </w:t>
      </w:r>
    </w:p>
    <w:p>
      <w:pPr>
        <w:pStyle w:val="83"/>
        <w:widowControl w:val="0"/>
        <w:numPr>
          <w:ilvl w:val="0"/>
          <w:numId w:val="19"/>
        </w:numPr>
        <w:spacing w:before="120" w:after="120" w:line="276" w:lineRule="auto"/>
        <w:jc w:val="both"/>
        <w:rPr>
          <w:rFonts w:ascii="Times New Roman" w:hAnsi="Times New Roman" w:cs="Times New Roman"/>
          <w:b/>
          <w:bCs/>
        </w:rPr>
      </w:pPr>
      <w:r>
        <w:rPr>
          <w:rFonts w:ascii="Times New Roman" w:hAnsi="Times New Roman" w:cs="Times New Roman"/>
          <w:b/>
          <w:bCs/>
        </w:rPr>
        <w:t>Low latency and large packet size</w:t>
      </w:r>
    </w:p>
    <w:p>
      <w:pPr>
        <w:tabs>
          <w:tab w:val="left" w:pos="720"/>
        </w:tabs>
        <w:spacing w:before="120" w:after="120" w:line="240" w:lineRule="auto"/>
        <w:jc w:val="both"/>
        <w:rPr>
          <w:rFonts w:ascii="Times New Roman" w:hAnsi="Times New Roman" w:cs="Times New Roman"/>
        </w:rPr>
      </w:pPr>
      <w:r>
        <w:rPr>
          <w:rFonts w:ascii="Times New Roman" w:hAnsi="Times New Roman" w:cs="Times New Roman"/>
        </w:rPr>
        <w:t xml:space="preserve">To provide good experience of XR, the latency of XR traffic should be as low as possible. As agreed in RAN1 meetings in Rel-17, air interface PDB for DL video stream is as follows. </w:t>
      </w:r>
    </w:p>
    <w:p>
      <w:pPr>
        <w:autoSpaceDN w:val="0"/>
        <w:spacing w:after="0" w:line="240" w:lineRule="auto"/>
        <w:ind w:left="720"/>
        <w:jc w:val="both"/>
        <w:rPr>
          <w:rFonts w:ascii="Times New Roman" w:hAnsi="Times New Roman" w:eastAsia="Batang" w:cs="Times New Roman"/>
          <w:lang w:val="en-GB" w:eastAsia="zh-CN"/>
        </w:rPr>
      </w:pPr>
      <w:r>
        <w:rPr>
          <w:rFonts w:ascii="Times New Roman" w:hAnsi="Times New Roman" w:eastAsia="Batang" w:cs="Times New Roman"/>
          <w:lang w:val="en-GB" w:eastAsia="zh-CN"/>
        </w:rPr>
        <w:t>VR/AR</w:t>
      </w:r>
    </w:p>
    <w:p>
      <w:pPr>
        <w:numPr>
          <w:ilvl w:val="1"/>
          <w:numId w:val="20"/>
        </w:numPr>
        <w:autoSpaceDN w:val="0"/>
        <w:spacing w:after="0" w:line="240" w:lineRule="auto"/>
        <w:jc w:val="both"/>
        <w:rPr>
          <w:rFonts w:ascii="Times New Roman" w:hAnsi="Times New Roman" w:eastAsia="Batang" w:cs="Times New Roman"/>
          <w:lang w:val="en-GB" w:eastAsia="zh-CN"/>
        </w:rPr>
      </w:pPr>
      <w:r>
        <w:rPr>
          <w:rFonts w:ascii="Times New Roman" w:hAnsi="Times New Roman" w:eastAsia="Batang" w:cs="Times New Roman"/>
          <w:lang w:val="en-GB" w:eastAsia="zh-CN"/>
        </w:rPr>
        <w:t>10ms </w:t>
      </w:r>
    </w:p>
    <w:p>
      <w:pPr>
        <w:autoSpaceDN w:val="0"/>
        <w:spacing w:after="0" w:line="240" w:lineRule="auto"/>
        <w:ind w:left="720"/>
        <w:jc w:val="both"/>
        <w:rPr>
          <w:rFonts w:ascii="Times New Roman" w:hAnsi="Times New Roman" w:eastAsia="Batang" w:cs="Times New Roman"/>
          <w:lang w:val="en-GB" w:eastAsia="zh-CN"/>
        </w:rPr>
      </w:pPr>
      <w:r>
        <w:rPr>
          <w:rFonts w:ascii="Times New Roman" w:hAnsi="Times New Roman" w:eastAsia="Batang" w:cs="Times New Roman"/>
          <w:lang w:val="en-GB" w:eastAsia="zh-CN"/>
        </w:rPr>
        <w:t>CG</w:t>
      </w:r>
    </w:p>
    <w:p>
      <w:pPr>
        <w:numPr>
          <w:ilvl w:val="1"/>
          <w:numId w:val="20"/>
        </w:numPr>
        <w:autoSpaceDN w:val="0"/>
        <w:spacing w:after="0" w:line="240" w:lineRule="auto"/>
        <w:jc w:val="both"/>
        <w:rPr>
          <w:rFonts w:ascii="Times New Roman" w:hAnsi="Times New Roman" w:eastAsia="Batang" w:cs="Times New Roman"/>
          <w:lang w:val="en-GB" w:eastAsia="zh-CN"/>
        </w:rPr>
      </w:pPr>
      <w:r>
        <w:rPr>
          <w:rFonts w:ascii="Times New Roman" w:hAnsi="Times New Roman" w:eastAsia="Batang" w:cs="Times New Roman"/>
          <w:lang w:val="en-GB" w:eastAsia="zh-CN"/>
        </w:rPr>
        <w:t>15ms</w:t>
      </w:r>
    </w:p>
    <w:p>
      <w:pPr>
        <w:autoSpaceDN w:val="0"/>
        <w:spacing w:after="0" w:line="240" w:lineRule="auto"/>
        <w:jc w:val="both"/>
        <w:rPr>
          <w:rFonts w:ascii="Times New Roman" w:hAnsi="Times New Roman" w:eastAsia="宋体" w:cs="Times New Roman"/>
          <w:lang w:eastAsia="zh-CN"/>
        </w:rPr>
      </w:pPr>
      <w:r>
        <w:rPr>
          <w:rFonts w:ascii="Times New Roman" w:hAnsi="Times New Roman" w:cs="Times New Roman"/>
          <w:lang w:eastAsia="sv-SE"/>
        </w:rPr>
        <w:t xml:space="preserve">According to the agreed traffic model in Rel-17, mean packet size is very large. Taking </w:t>
      </w:r>
      <w:r>
        <w:rPr>
          <w:rFonts w:ascii="Times New Roman" w:hAnsi="Times New Roman" w:cs="Times New Roman"/>
          <w:lang w:eastAsia="zh-CN"/>
        </w:rPr>
        <w:t>AR/VR 60Mbps as example, mean packet size is 125000 bytes.</w:t>
      </w:r>
      <w:r>
        <w:rPr>
          <w:rFonts w:ascii="Times New Roman" w:hAnsi="Times New Roman" w:eastAsia="宋体" w:cs="Times New Roman"/>
          <w:lang w:eastAsia="zh-CN"/>
        </w:rPr>
        <w:t xml:space="preserve"> This is very different from</w:t>
      </w:r>
      <w:r>
        <w:rPr>
          <w:rFonts w:ascii="Times New Roman" w:hAnsi="Times New Roman" w:cs="Times New Roman"/>
        </w:rPr>
        <w:t xml:space="preserve"> R-15/6 URLLC or eMBB services</w:t>
      </w:r>
      <w:r>
        <w:rPr>
          <w:rFonts w:ascii="Times New Roman" w:hAnsi="Times New Roman" w:cs="Times New Roman"/>
          <w:lang w:eastAsia="zh-CN"/>
        </w:rPr>
        <w:t>.</w:t>
      </w:r>
      <w:r>
        <w:rPr>
          <w:rFonts w:ascii="Times New Roman" w:hAnsi="Times New Roman" w:cs="Times New Roman"/>
        </w:rPr>
        <w:t xml:space="preserve"> For URLLC, one of the most challenge is latency, and for eMBB, one of the most challenge is high transmission data. However, for XR services, both high transmission rate and low latency should be satisfied.</w:t>
      </w:r>
    </w:p>
    <w:p>
      <w:pPr>
        <w:pStyle w:val="30"/>
        <w:widowControl/>
        <w:numPr>
          <w:ilvl w:val="0"/>
          <w:numId w:val="19"/>
        </w:numPr>
        <w:spacing w:before="120" w:after="120"/>
        <w:rPr>
          <w:rFonts w:cs="Times New Roman"/>
          <w:b/>
          <w:color w:val="000000" w:themeColor="text1"/>
          <w:sz w:val="22"/>
          <w:lang w:eastAsia="zh-CN"/>
          <w14:textFill>
            <w14:solidFill>
              <w14:schemeClr w14:val="tx1"/>
            </w14:solidFill>
          </w14:textFill>
        </w:rPr>
      </w:pPr>
      <w:r>
        <w:rPr>
          <w:rFonts w:cs="Times New Roman"/>
          <w:b/>
          <w:color w:val="000000" w:themeColor="text1"/>
          <w:sz w:val="22"/>
          <w:lang w:eastAsia="zh-CN"/>
          <w14:textFill>
            <w14:solidFill>
              <w14:schemeClr w14:val="tx1"/>
            </w14:solidFill>
          </w14:textFill>
        </w:rPr>
        <w:t>Varying packet size</w:t>
      </w:r>
    </w:p>
    <w:p>
      <w:pPr>
        <w:spacing w:before="120" w:beforeLines="50" w:after="120" w:afterLines="50"/>
        <w:jc w:val="both"/>
        <w:rPr>
          <w:rFonts w:ascii="Times New Roman" w:hAnsi="Times New Roman" w:cs="Times New Roman"/>
          <w:lang w:eastAsia="zh-CN"/>
        </w:rPr>
      </w:pPr>
      <w:r>
        <w:rPr>
          <w:rFonts w:ascii="Times New Roman" w:hAnsi="Times New Roman" w:eastAsia="宋体" w:cs="Times New Roman"/>
          <w:lang w:eastAsia="zh-CN"/>
        </w:rPr>
        <w:t xml:space="preserve">In Rel-17 RAN1 meeting, </w:t>
      </w:r>
      <w:r>
        <w:rPr>
          <w:rFonts w:ascii="Times New Roman" w:hAnsi="Times New Roman" w:cs="Times New Roman"/>
          <w:lang w:eastAsia="ja-JP"/>
        </w:rPr>
        <w:t>parameters of Truncated Gaussian distribution for packet size of DL video stream in case of single stream evaluation has been agreed and is shown below. We can observed that the packet size of XR is not fixed.</w:t>
      </w:r>
    </w:p>
    <w:p>
      <w:pPr>
        <w:pStyle w:val="83"/>
        <w:numPr>
          <w:ilvl w:val="0"/>
          <w:numId w:val="21"/>
        </w:numPr>
        <w:overflowPunct w:val="0"/>
        <w:autoSpaceDE w:val="0"/>
        <w:autoSpaceDN w:val="0"/>
        <w:adjustRightInd w:val="0"/>
        <w:spacing w:before="120" w:beforeLines="50" w:after="120" w:afterLines="50" w:line="240" w:lineRule="auto"/>
        <w:jc w:val="both"/>
        <w:textAlignment w:val="baseline"/>
        <w:rPr>
          <w:rFonts w:ascii="Times New Roman" w:hAnsi="Times New Roman" w:cs="Times New Roman"/>
          <w:lang w:eastAsia="zh-CN"/>
        </w:rPr>
      </w:pPr>
      <w:r>
        <w:rPr>
          <w:rFonts w:ascii="Times New Roman" w:hAnsi="Times New Roman" w:cs="Times New Roman"/>
          <w:lang w:eastAsia="zh-CN"/>
        </w:rPr>
        <w:t>[STD, Max, Min]: [10.5, 150, 50]% of Mean packet size</w:t>
      </w:r>
    </w:p>
    <w:p>
      <w:pPr>
        <w:pStyle w:val="83"/>
        <w:numPr>
          <w:ilvl w:val="0"/>
          <w:numId w:val="19"/>
        </w:numPr>
        <w:spacing w:before="120" w:beforeLines="50" w:after="120" w:afterLines="50"/>
        <w:jc w:val="both"/>
        <w:rPr>
          <w:rFonts w:ascii="Times New Roman" w:hAnsi="Times New Roman" w:cs="Times New Roman"/>
          <w:b/>
          <w:lang w:eastAsia="zh-CN"/>
        </w:rPr>
      </w:pPr>
      <w:r>
        <w:rPr>
          <w:rFonts w:ascii="Times New Roman" w:hAnsi="Times New Roman" w:cs="Times New Roman"/>
          <w:b/>
          <w:lang w:eastAsia="zh-CN"/>
        </w:rPr>
        <w:t>Multiple flows</w:t>
      </w:r>
    </w:p>
    <w:p>
      <w:pPr>
        <w:spacing w:before="120" w:beforeLines="50" w:after="120" w:afterLines="50"/>
        <w:jc w:val="both"/>
        <w:rPr>
          <w:rFonts w:ascii="Times New Roman" w:hAnsi="Times New Roman" w:cs="Times New Roman"/>
        </w:rPr>
      </w:pPr>
      <w:r>
        <w:rPr>
          <w:rFonts w:ascii="Times New Roman" w:hAnsi="Times New Roman" w:cs="Times New Roman"/>
        </w:rPr>
        <w:t>For an XR application, there might be multiple data streams. Multiple streams may have different traffic characteristics, requirements and priorities.</w:t>
      </w:r>
    </w:p>
    <w:p>
      <w:p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 xml:space="preserve">Observation 1: XR services have the following characteristics. </w:t>
      </w:r>
    </w:p>
    <w:p>
      <w:pPr>
        <w:pStyle w:val="83"/>
        <w:numPr>
          <w:ilvl w:val="0"/>
          <w:numId w:val="22"/>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The non-integer periodicity</w:t>
      </w:r>
    </w:p>
    <w:p>
      <w:pPr>
        <w:pStyle w:val="83"/>
        <w:numPr>
          <w:ilvl w:val="0"/>
          <w:numId w:val="22"/>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Jitter of packet arrival time</w:t>
      </w:r>
    </w:p>
    <w:p>
      <w:pPr>
        <w:pStyle w:val="83"/>
        <w:numPr>
          <w:ilvl w:val="0"/>
          <w:numId w:val="22"/>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Low latency and large packet size</w:t>
      </w:r>
    </w:p>
    <w:p>
      <w:pPr>
        <w:pStyle w:val="83"/>
        <w:numPr>
          <w:ilvl w:val="0"/>
          <w:numId w:val="22"/>
        </w:numPr>
        <w:spacing w:before="120" w:after="120" w:line="240" w:lineRule="auto"/>
        <w:jc w:val="both"/>
        <w:rPr>
          <w:rFonts w:ascii="Times New Roman" w:hAnsi="Times New Roman" w:cs="Times New Roman"/>
          <w:i/>
          <w:color w:val="000000" w:themeColor="text1"/>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Varying packet size</w:t>
      </w:r>
    </w:p>
    <w:p>
      <w:pPr>
        <w:pStyle w:val="83"/>
        <w:numPr>
          <w:ilvl w:val="0"/>
          <w:numId w:val="22"/>
        </w:numPr>
        <w:spacing w:before="120" w:after="120" w:line="240" w:lineRule="auto"/>
        <w:jc w:val="both"/>
        <w:rPr>
          <w:rFonts w:ascii="Times New Roman" w:hAnsi="Times New Roman" w:cs="Times New Roman"/>
          <w:i/>
          <w:color w:val="000000" w:themeColor="text1"/>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Multiple flows</w:t>
      </w:r>
    </w:p>
    <w:bookmarkEnd w:id="2"/>
    <w:bookmarkEnd w:id="3"/>
    <w:p>
      <w:pPr>
        <w:pStyle w:val="4"/>
        <w:rPr>
          <w:sz w:val="22"/>
          <w:szCs w:val="22"/>
          <w:lang w:val="en-US"/>
        </w:rPr>
      </w:pPr>
      <w:r>
        <w:rPr>
          <w:szCs w:val="22"/>
        </w:rPr>
        <w:t>Enabling Tx/Rx for XR during RRM measurements</w:t>
      </w:r>
    </w:p>
    <w:p>
      <w:pPr>
        <w:jc w:val="both"/>
        <w:rPr>
          <w:rFonts w:ascii="Times New Roman" w:hAnsi="Times New Roman" w:cs="Times New Roman"/>
          <w:lang w:eastAsia="ko-KR"/>
        </w:rPr>
      </w:pPr>
      <w:r>
        <w:rPr>
          <w:rFonts w:ascii="Times New Roman" w:hAnsi="Times New Roman" w:cs="Times New Roman"/>
        </w:rPr>
        <w:t>In current specification</w:t>
      </w:r>
      <w:r>
        <w:rPr>
          <w:rFonts w:ascii="Times New Roman" w:hAnsi="Times New Roman" w:cs="Times New Roman"/>
          <w:lang w:eastAsia="fi-FI"/>
        </w:rPr>
        <w:t xml:space="preserve">, measurement gaps are configured to allow UE to do inter-frequency neighbour cell measurement and the corresponding Radio frequency (RF) tuning for Radio Resource Measurement (RRM) purposes (e.g. mobility, CA set-up, etc.). </w:t>
      </w:r>
      <w:r>
        <w:rPr>
          <w:rFonts w:ascii="Times New Roman" w:hAnsi="Times New Roman" w:cs="Times New Roman"/>
          <w:lang w:eastAsia="ko-KR"/>
        </w:rPr>
        <w:t xml:space="preserve">During an activated measurement gap, MAC entity shall, on the Serving Cell(s) in the corresponding frequency range of the measurement gap configured by </w:t>
      </w:r>
      <w:r>
        <w:rPr>
          <w:rFonts w:ascii="Times New Roman" w:hAnsi="Times New Roman" w:cs="Times New Roman"/>
          <w:i/>
        </w:rPr>
        <w:t>measGapConfig</w:t>
      </w:r>
      <w:r>
        <w:rPr>
          <w:rFonts w:ascii="Times New Roman" w:hAnsi="Times New Roman" w:cs="Times New Roman"/>
        </w:rPr>
        <w:t xml:space="preserve"> </w:t>
      </w:r>
      <w:r>
        <w:rPr>
          <w:rFonts w:ascii="Times New Roman" w:hAnsi="Times New Roman" w:cs="Times New Roman"/>
          <w:lang w:eastAsia="ko-KR"/>
        </w:rPr>
        <w:t>as specified in TS 38.331:</w:t>
      </w:r>
    </w:p>
    <w:p>
      <w:pPr>
        <w:pStyle w:val="92"/>
        <w:ind w:left="360" w:firstLine="480"/>
        <w:jc w:val="both"/>
        <w:rPr>
          <w:rFonts w:cs="Times New Roman"/>
          <w:sz w:val="20"/>
          <w:szCs w:val="20"/>
          <w:lang w:eastAsia="ko-KR"/>
        </w:rPr>
      </w:pPr>
      <w:r>
        <w:rPr>
          <w:rFonts w:cs="Times New Roman"/>
          <w:sz w:val="20"/>
          <w:szCs w:val="20"/>
          <w:lang w:eastAsia="ko-KR"/>
        </w:rPr>
        <w:t>1&gt;</w:t>
      </w:r>
      <w:r>
        <w:rPr>
          <w:rFonts w:cs="Times New Roman"/>
          <w:sz w:val="20"/>
          <w:szCs w:val="20"/>
          <w:lang w:eastAsia="ko-KR"/>
        </w:rPr>
        <w:tab/>
      </w:r>
      <w:r>
        <w:rPr>
          <w:rFonts w:cs="Times New Roman"/>
          <w:sz w:val="20"/>
          <w:szCs w:val="20"/>
          <w:lang w:eastAsia="ko-KR"/>
        </w:rPr>
        <w:t>not perform the transmission of Hybrid Automatic Repeat request (HARQ) feedback, Scheduling Require (SR), and Channel State Information (CSI);</w:t>
      </w:r>
    </w:p>
    <w:p>
      <w:pPr>
        <w:pStyle w:val="92"/>
        <w:ind w:left="360" w:firstLine="480"/>
        <w:jc w:val="both"/>
        <w:rPr>
          <w:rFonts w:cs="Times New Roman"/>
          <w:sz w:val="20"/>
          <w:szCs w:val="20"/>
          <w:lang w:eastAsia="ko-KR"/>
        </w:rPr>
      </w:pPr>
      <w:r>
        <w:rPr>
          <w:rFonts w:cs="Times New Roman"/>
          <w:sz w:val="20"/>
          <w:szCs w:val="20"/>
          <w:lang w:eastAsia="ko-KR"/>
        </w:rPr>
        <w:t>1&gt;</w:t>
      </w:r>
      <w:r>
        <w:rPr>
          <w:rFonts w:cs="Times New Roman"/>
          <w:sz w:val="20"/>
          <w:szCs w:val="20"/>
          <w:lang w:eastAsia="ko-KR"/>
        </w:rPr>
        <w:tab/>
      </w:r>
      <w:r>
        <w:rPr>
          <w:rFonts w:cs="Times New Roman"/>
          <w:sz w:val="20"/>
          <w:szCs w:val="20"/>
          <w:lang w:eastAsia="ko-KR"/>
        </w:rPr>
        <w:t>not report Sounding Reference Signal (SRS);</w:t>
      </w:r>
    </w:p>
    <w:p>
      <w:pPr>
        <w:pStyle w:val="92"/>
        <w:ind w:left="360" w:firstLine="480"/>
        <w:jc w:val="both"/>
        <w:rPr>
          <w:rFonts w:cs="Times New Roman"/>
          <w:sz w:val="20"/>
          <w:szCs w:val="20"/>
          <w:lang w:eastAsia="ko-KR"/>
        </w:rPr>
      </w:pPr>
      <w:r>
        <w:rPr>
          <w:rFonts w:cs="Times New Roman"/>
          <w:sz w:val="20"/>
          <w:szCs w:val="20"/>
          <w:lang w:eastAsia="ko-KR"/>
        </w:rPr>
        <w:t>1&gt;</w:t>
      </w:r>
      <w:r>
        <w:rPr>
          <w:rFonts w:cs="Times New Roman"/>
          <w:sz w:val="20"/>
          <w:szCs w:val="20"/>
          <w:lang w:eastAsia="ko-KR"/>
        </w:rPr>
        <w:tab/>
      </w:r>
      <w:r>
        <w:rPr>
          <w:rFonts w:cs="Times New Roman"/>
          <w:sz w:val="20"/>
          <w:szCs w:val="20"/>
          <w:lang w:eastAsia="ko-KR"/>
        </w:rPr>
        <w:t>not transmit on UL-SCH except for Msg3 or the MSGA payload as specified in clause 5.4.2.2;</w:t>
      </w:r>
    </w:p>
    <w:p>
      <w:pPr>
        <w:pStyle w:val="92"/>
        <w:ind w:left="360" w:firstLine="480"/>
        <w:jc w:val="both"/>
        <w:rPr>
          <w:rFonts w:cs="Times New Roman"/>
          <w:sz w:val="20"/>
          <w:szCs w:val="20"/>
          <w:lang w:eastAsia="ko-KR"/>
        </w:rPr>
      </w:pPr>
      <w:r>
        <w:rPr>
          <w:rFonts w:cs="Times New Roman"/>
          <w:sz w:val="20"/>
          <w:szCs w:val="20"/>
          <w:lang w:eastAsia="ko-KR"/>
        </w:rPr>
        <w:t>1&gt;</w:t>
      </w:r>
      <w:r>
        <w:rPr>
          <w:rFonts w:cs="Times New Roman"/>
          <w:sz w:val="20"/>
          <w:szCs w:val="20"/>
          <w:lang w:eastAsia="ko-KR"/>
        </w:rPr>
        <w:tab/>
      </w:r>
      <w:r>
        <w:rPr>
          <w:rFonts w:cs="Times New Roman"/>
          <w:sz w:val="20"/>
          <w:szCs w:val="20"/>
          <w:lang w:eastAsia="ko-KR"/>
        </w:rPr>
        <w:t xml:space="preserve">if the </w:t>
      </w:r>
      <w:r>
        <w:rPr>
          <w:rFonts w:cs="Times New Roman"/>
          <w:i/>
          <w:sz w:val="20"/>
          <w:szCs w:val="20"/>
          <w:lang w:eastAsia="ko-KR"/>
        </w:rPr>
        <w:t>ra-ResponseWindow</w:t>
      </w:r>
      <w:r>
        <w:rPr>
          <w:rFonts w:cs="Times New Roman"/>
          <w:sz w:val="20"/>
          <w:szCs w:val="20"/>
          <w:lang w:eastAsia="ko-KR"/>
        </w:rPr>
        <w:t xml:space="preserve"> or the </w:t>
      </w:r>
      <w:r>
        <w:rPr>
          <w:rFonts w:cs="Times New Roman"/>
          <w:i/>
          <w:sz w:val="20"/>
          <w:szCs w:val="20"/>
          <w:lang w:eastAsia="ko-KR"/>
        </w:rPr>
        <w:t>ra-ContentionResolutionTimer</w:t>
      </w:r>
      <w:r>
        <w:rPr>
          <w:rFonts w:cs="Times New Roman"/>
          <w:sz w:val="20"/>
          <w:szCs w:val="20"/>
          <w:lang w:eastAsia="ko-KR"/>
        </w:rPr>
        <w:t xml:space="preserve"> or the </w:t>
      </w:r>
      <w:r>
        <w:rPr>
          <w:rFonts w:cs="Times New Roman"/>
          <w:i/>
          <w:iCs/>
          <w:sz w:val="20"/>
          <w:szCs w:val="20"/>
          <w:lang w:eastAsia="ko-KR"/>
        </w:rPr>
        <w:t>msgB-ResponseWindow</w:t>
      </w:r>
      <w:r>
        <w:rPr>
          <w:rFonts w:cs="Times New Roman"/>
          <w:sz w:val="20"/>
          <w:szCs w:val="20"/>
          <w:lang w:eastAsia="ko-KR"/>
        </w:rPr>
        <w:t xml:space="preserve"> is running:</w:t>
      </w:r>
    </w:p>
    <w:p>
      <w:pPr>
        <w:pStyle w:val="95"/>
        <w:ind w:left="1683" w:leftChars="636"/>
        <w:jc w:val="both"/>
        <w:rPr>
          <w:lang w:eastAsia="ko-KR"/>
        </w:rPr>
      </w:pPr>
      <w:r>
        <w:rPr>
          <w:lang w:eastAsia="ko-KR"/>
        </w:rPr>
        <w:t>2&gt;</w:t>
      </w:r>
      <w:r>
        <w:rPr>
          <w:lang w:eastAsia="ko-KR"/>
        </w:rPr>
        <w:tab/>
      </w:r>
      <w:r>
        <w:rPr>
          <w:lang w:eastAsia="ko-KR"/>
        </w:rPr>
        <w:t>monitor the Physical Downlink Control Channel (PDCCH) as specified in clauses 5.1.4 and 5.1.5.</w:t>
      </w:r>
    </w:p>
    <w:p>
      <w:pPr>
        <w:pStyle w:val="92"/>
        <w:ind w:left="360" w:firstLine="480"/>
        <w:jc w:val="both"/>
        <w:rPr>
          <w:rFonts w:cs="Times New Roman"/>
          <w:sz w:val="20"/>
          <w:szCs w:val="20"/>
          <w:lang w:eastAsia="ko-KR"/>
        </w:rPr>
      </w:pPr>
      <w:r>
        <w:rPr>
          <w:rFonts w:cs="Times New Roman"/>
          <w:sz w:val="20"/>
          <w:szCs w:val="20"/>
          <w:lang w:eastAsia="ko-KR"/>
        </w:rPr>
        <w:t>1&gt;</w:t>
      </w:r>
      <w:r>
        <w:rPr>
          <w:rFonts w:cs="Times New Roman"/>
          <w:sz w:val="20"/>
          <w:szCs w:val="20"/>
          <w:lang w:eastAsia="ko-KR"/>
        </w:rPr>
        <w:tab/>
      </w:r>
      <w:r>
        <w:rPr>
          <w:rFonts w:cs="Times New Roman"/>
          <w:sz w:val="20"/>
          <w:szCs w:val="20"/>
          <w:lang w:eastAsia="ko-KR"/>
        </w:rPr>
        <w:t>else:</w:t>
      </w:r>
    </w:p>
    <w:p>
      <w:pPr>
        <w:pStyle w:val="95"/>
        <w:ind w:left="1683" w:leftChars="636"/>
        <w:jc w:val="both"/>
        <w:rPr>
          <w:lang w:eastAsia="ko-KR"/>
        </w:rPr>
      </w:pPr>
      <w:r>
        <w:rPr>
          <w:lang w:eastAsia="ko-KR"/>
        </w:rPr>
        <w:t>2&gt;</w:t>
      </w:r>
      <w:r>
        <w:rPr>
          <w:lang w:eastAsia="ko-KR"/>
        </w:rPr>
        <w:tab/>
      </w:r>
      <w:r>
        <w:rPr>
          <w:lang w:eastAsia="ko-KR"/>
        </w:rPr>
        <w:t>not monitor the PDCCH;</w:t>
      </w:r>
    </w:p>
    <w:p>
      <w:pPr>
        <w:ind w:left="244" w:leftChars="111" w:firstLine="1100" w:firstLineChars="550"/>
        <w:jc w:val="both"/>
        <w:rPr>
          <w:rFonts w:ascii="Times New Roman" w:hAnsi="Times New Roman" w:cs="Times New Roman"/>
          <w:sz w:val="20"/>
          <w:szCs w:val="20"/>
          <w:lang w:eastAsia="ko-KR"/>
        </w:rPr>
      </w:pPr>
      <w:r>
        <w:rPr>
          <w:rFonts w:ascii="Times New Roman" w:hAnsi="Times New Roman" w:cs="Times New Roman"/>
          <w:sz w:val="20"/>
          <w:szCs w:val="20"/>
          <w:lang w:eastAsia="ko-KR"/>
        </w:rPr>
        <w:t>2&gt; not receive on DL-SCH.</w:t>
      </w:r>
    </w:p>
    <w:p>
      <w:pPr>
        <w:spacing w:after="0" w:line="240" w:lineRule="auto"/>
        <w:jc w:val="both"/>
        <w:rPr>
          <w:rFonts w:ascii="Times New Roman" w:hAnsi="Times New Roman" w:cs="Times New Roman"/>
        </w:rPr>
      </w:pPr>
      <w:r>
        <w:rPr>
          <w:rFonts w:ascii="Times New Roman" w:hAnsi="Times New Roman" w:cs="Times New Roman"/>
          <w:lang w:eastAsia="fi-FI"/>
        </w:rPr>
        <w:t>In other word, during</w:t>
      </w:r>
      <w:r>
        <w:rPr>
          <w:rFonts w:ascii="Times New Roman" w:hAnsi="Times New Roman" w:cs="Times New Roman"/>
        </w:rPr>
        <w:t xml:space="preserve"> the measurement gap, a UE cannot transmit/receive data except for random access procedure.</w:t>
      </w:r>
      <w:r>
        <w:rPr>
          <w:rFonts w:ascii="Times New Roman" w:hAnsi="Times New Roman" w:cs="Times New Roman"/>
          <w:lang w:eastAsia="zh-CN"/>
        </w:rPr>
        <w:t xml:space="preserve"> </w:t>
      </w:r>
      <w:r>
        <w:rPr>
          <w:rFonts w:ascii="Times New Roman" w:hAnsi="Times New Roman" w:cs="Times New Roman"/>
        </w:rPr>
        <w:t xml:space="preserve">As identified in Rel-17, XR services are with low latency, jitter and large packet size, when XR traffic is arrival close to or during a measurement gap, after UE perform RRM measurement during the measurement gap, the remaining time of latency budget is not enough for the UE to transmit a XR traffic whole, as show in figure 1. Thus, the performance of XR service will be decreased, to handle of this, enabling Tx/Rx for XR during measurement gap can be considered, and the most straightforward way is determined by gNB. </w:t>
      </w:r>
    </w:p>
    <w:p>
      <w:pPr>
        <w:autoSpaceDE w:val="0"/>
        <w:autoSpaceDN w:val="0"/>
        <w:ind w:left="360"/>
        <w:jc w:val="center"/>
        <w:rPr>
          <w:rFonts w:ascii="Times New Roman" w:hAnsi="Times New Roman" w:cs="Times New Roman"/>
        </w:rPr>
      </w:pPr>
      <w:r>
        <w:rPr>
          <w:rFonts w:ascii="Times New Roman" w:hAnsi="Times New Roman" w:cs="Times New Roman"/>
        </w:rPr>
        <w:object>
          <v:shape id="_x0000_i1025" o:spt="75" type="#_x0000_t75" style="height:141.1pt;width:419.1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jc w:val="center"/>
        <w:rPr>
          <w:rFonts w:ascii="Times New Roman" w:hAnsi="Times New Roman" w:cs="Times New Roman"/>
        </w:rPr>
      </w:pPr>
      <w:r>
        <w:rPr>
          <w:rFonts w:ascii="Times New Roman" w:hAnsi="Times New Roman" w:cs="Times New Roman"/>
        </w:rPr>
        <w:t>Figure 1. Packet with low latency arrival close to or during measurement gap</w:t>
      </w:r>
    </w:p>
    <w:p>
      <w:pPr>
        <w:jc w:val="both"/>
        <w:rPr>
          <w:rFonts w:ascii="Times New Roman" w:hAnsi="Times New Roman" w:cs="Times New Roman"/>
          <w:b/>
          <w:bCs/>
          <w:iCs/>
          <w:sz w:val="21"/>
          <w:szCs w:val="20"/>
          <w:lang w:val="en-GB" w:eastAsia="zh-CN"/>
        </w:rPr>
      </w:pPr>
      <w:r>
        <w:rPr>
          <w:rFonts w:ascii="Times New Roman" w:hAnsi="Times New Roman" w:cs="Times New Roman"/>
          <w:b/>
          <w:i/>
        </w:rPr>
        <w:t>Proposal 1: Enabling TX/RX for XR during RRM measurements</w:t>
      </w:r>
      <w:r>
        <w:rPr>
          <w:rFonts w:ascii="Times New Roman" w:hAnsi="Times New Roman" w:cs="Times New Roman"/>
          <w:b/>
          <w:i/>
          <w:lang w:eastAsia="zh-CN"/>
        </w:rPr>
        <w:t xml:space="preserve"> can be supported, and data transmission/reception can be indicated by gNB.</w:t>
      </w:r>
      <w:r>
        <w:rPr>
          <w:rFonts w:ascii="Times New Roman" w:hAnsi="Times New Roman" w:cs="Times New Roman"/>
          <w:b/>
          <w:bCs/>
          <w:iCs/>
          <w:sz w:val="21"/>
          <w:szCs w:val="20"/>
          <w:lang w:val="en-GB" w:eastAsia="zh-CN"/>
        </w:rPr>
        <w:t xml:space="preserve"> </w:t>
      </w:r>
    </w:p>
    <w:p>
      <w:pPr>
        <w:pStyle w:val="4"/>
      </w:pPr>
      <w:r>
        <w:t>Other enhancements on capacity performance for XR</w:t>
      </w:r>
    </w:p>
    <w:p>
      <w:pPr>
        <w:pStyle w:val="83"/>
        <w:numPr>
          <w:ilvl w:val="0"/>
          <w:numId w:val="23"/>
        </w:numPr>
        <w:rPr>
          <w:rFonts w:ascii="Times New Roman" w:hAnsi="Times New Roman" w:cs="Times New Roman"/>
          <w:lang w:val="en-GB" w:eastAsia="zh-CN"/>
        </w:rPr>
      </w:pPr>
      <w:r>
        <w:rPr>
          <w:rFonts w:ascii="Times New Roman" w:hAnsi="Times New Roman" w:cs="Times New Roman"/>
          <w:b/>
          <w:i/>
          <w:lang w:eastAsia="zh-CN"/>
        </w:rPr>
        <w:t>A UTO-UCI use to indicate un-used TOs within more than one CG configurations</w:t>
      </w:r>
    </w:p>
    <w:p>
      <w:pPr>
        <w:jc w:val="both"/>
        <w:rPr>
          <w:rFonts w:ascii="Times New Roman" w:hAnsi="Times New Roman" w:cs="Times New Roman"/>
          <w:color w:val="000000" w:themeColor="text1"/>
          <w:lang w:eastAsia="zh-CN"/>
          <w14:textFill>
            <w14:solidFill>
              <w14:schemeClr w14:val="tx1"/>
            </w14:solidFill>
          </w14:textFill>
        </w:rPr>
      </w:pPr>
      <w:r>
        <w:rPr>
          <w:rFonts w:ascii="Times New Roman" w:hAnsi="Times New Roman" w:cs="Times New Roman"/>
          <w:color w:val="000000" w:themeColor="text1"/>
          <w:lang w:eastAsia="zh-CN"/>
          <w14:textFill>
            <w14:solidFill>
              <w14:schemeClr w14:val="tx1"/>
            </w14:solidFill>
          </w14:textFill>
        </w:rPr>
        <w:t>As agreed in Rel-17 RAN1 meeting, a truncated Gaussian distribution is used to model the jitter of DL and UL video stream for XR services. The range of jitter is agreed to be [-4, 4]ms (baseline) and [-5, 5]ms (optional). This means the XR packets may arrive at gNB or UE within a time window of 8ms or 10ms length, and the exact arrival time is not known in advance. When the XR traffic is arrived before the first TOs within a CG transmission, then UE can transmit a PUSCH on the following TOs within a CG configuration. However, when the XR traffic is arrived after the first TOs within CG transmission occasion, the remaining TOs within a CG configuration may be not enough to carry a packet whole, scheduling delay will be caused for transmission the remaining portion of the packet if dynamic scheduling mechanism is used. To handle of this, enabling UE to indicate several additional TOs after the end of configured TO within the CG period can be considered.</w:t>
      </w:r>
    </w:p>
    <w:p>
      <w:pPr>
        <w:jc w:val="both"/>
        <w:rPr>
          <w:rFonts w:ascii="Times New Roman" w:hAnsi="Times New Roman" w:cs="Times New Roman"/>
          <w:color w:val="000000" w:themeColor="text1"/>
          <w:lang w:eastAsia="zh-CN"/>
          <w14:textFill>
            <w14:solidFill>
              <w14:schemeClr w14:val="tx1"/>
            </w14:solidFill>
          </w14:textFill>
        </w:rPr>
      </w:pPr>
      <w:r>
        <w:rPr>
          <w:rFonts w:ascii="Times New Roman" w:hAnsi="Times New Roman" w:cs="Times New Roman"/>
          <w:color w:val="000000" w:themeColor="text1"/>
          <w:lang w:eastAsia="zh-CN"/>
          <w14:textFill>
            <w14:solidFill>
              <w14:schemeClr w14:val="tx1"/>
            </w14:solidFill>
          </w14:textFill>
        </w:rPr>
        <w:t>In addition, when more than one CG configurations activation simultaneously for XR, as agreed in previous RAN1 meetings, a UTO-UCI carried by CG-PUSCH can be used to indicate the un-used TOs within a CG configuration, thus, there is no UTO-UCI to indicate the un-used TOs within the CG configurations which are not chosen by the UE, resource waste will be caused in this way, to handle of this issue, a UTO-UCI to indicate un-used TOs within more than one CG configurations should be supported.</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2: Additional TOs after the end of the configured TO within a CG period can be considered. </w:t>
      </w:r>
    </w:p>
    <w:p>
      <w:pPr>
        <w:jc w:val="both"/>
        <w:rPr>
          <w:rFonts w:ascii="Times New Roman" w:hAnsi="Times New Roman" w:cs="Times New Roman"/>
          <w:b/>
          <w:i/>
          <w:lang w:eastAsia="zh-CN"/>
        </w:rPr>
      </w:pPr>
      <w:r>
        <w:rPr>
          <w:rFonts w:ascii="Times New Roman" w:hAnsi="Times New Roman" w:cs="Times New Roman"/>
          <w:b/>
          <w:i/>
          <w:lang w:eastAsia="zh-CN"/>
        </w:rPr>
        <w:t>Proposal 3: When more than one CG configurations activation simultaneously, a UTO-UCI use to indicate un-used TOs within more than one CG configurations can be considered.</w:t>
      </w:r>
    </w:p>
    <w:p>
      <w:pPr>
        <w:pStyle w:val="83"/>
        <w:numPr>
          <w:ilvl w:val="0"/>
          <w:numId w:val="23"/>
        </w:numPr>
        <w:rPr>
          <w:rFonts w:ascii="Times New Roman" w:hAnsi="Times New Roman" w:cs="Times New Roman"/>
          <w:b/>
        </w:rPr>
      </w:pPr>
      <w:r>
        <w:rPr>
          <w:rFonts w:ascii="Times New Roman" w:hAnsi="Times New Roman" w:cs="Times New Roman"/>
          <w:b/>
        </w:rPr>
        <w:t>Repetition of multiple-PUSCHs (TOs) within a CG configuration</w:t>
      </w:r>
    </w:p>
    <w:p>
      <w:pPr>
        <w:autoSpaceDE w:val="0"/>
        <w:autoSpaceDN w:val="0"/>
        <w:jc w:val="both"/>
        <w:rPr>
          <w:rFonts w:ascii="Times New Roman" w:hAnsi="Times New Roman" w:cs="Times New Roman"/>
        </w:rPr>
      </w:pPr>
      <w:r>
        <w:rPr>
          <w:rFonts w:ascii="Times New Roman" w:hAnsi="Times New Roman" w:cs="Times New Roman"/>
        </w:rPr>
        <w:t xml:space="preserve">As agreed in Rel-18, enhanced CG configuration transmission was introduced to decrease the transmission latency thanks to without SR and BSR procedure, and multiple PUSCHs (TOs) without repetition was adopt. With this way, to guarantee the reliability of XR services, re-transmission mechanism can be considered, e.g., initial transmission based on a certain BLER level (in general, it’s high than or equal to the target BLER.), when the initial transmission is incorrect, then a DG based re-transmission can be used, gNB can using a suitable MCS for the re-transmission. However, with this way, the performance of XR service will be decreased, as show in figure 3. Multiple TOs configured within a CG configuration, several end of TOs (e.g., TO7 and TO8) within a CG configuration may have not enough time to perform re-transmission when the initial transmission(s) are incorrectly. </w:t>
      </w:r>
      <w:r>
        <w:rPr>
          <w:rFonts w:ascii="Times New Roman" w:hAnsi="Times New Roman" w:cs="Times New Roman"/>
          <w:lang w:eastAsia="zh-CN"/>
        </w:rPr>
        <w:t xml:space="preserve">To handle of this, one of the most straightforward way is enabled repetition for multiple PUSCHs (TOs) within a CG configuration, </w:t>
      </w:r>
      <w:r>
        <w:rPr>
          <w:rFonts w:ascii="Times New Roman" w:hAnsi="Times New Roman" w:cs="Times New Roman"/>
        </w:rPr>
        <w:t>which can achieve up to 3dB gain at every TO repetition number doubling.</w:t>
      </w:r>
    </w:p>
    <w:p>
      <w:pPr>
        <w:autoSpaceDE w:val="0"/>
        <w:autoSpaceDN w:val="0"/>
        <w:ind w:left="360"/>
        <w:jc w:val="center"/>
        <w:rPr>
          <w:rFonts w:ascii="Times New Roman" w:hAnsi="Times New Roman" w:cs="Times New Roman"/>
        </w:rPr>
      </w:pPr>
      <w:r>
        <w:object>
          <v:shape id="_x0000_i1026" o:spt="75" type="#_x0000_t75" style="height:199.75pt;width:333.8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jc w:val="center"/>
        <w:rPr>
          <w:rFonts w:ascii="Times New Roman" w:hAnsi="Times New Roman" w:cs="Times New Roman"/>
          <w:b/>
        </w:rPr>
      </w:pPr>
      <w:r>
        <w:rPr>
          <w:rFonts w:ascii="Times New Roman" w:hAnsi="Times New Roman" w:cs="Times New Roman"/>
        </w:rPr>
        <w:t>Figure 2. A set of TOs within a CG configuration have no chance to perform Re-Tx</w:t>
      </w:r>
    </w:p>
    <w:p>
      <w:pPr>
        <w:jc w:val="both"/>
        <w:rPr>
          <w:rFonts w:ascii="Times New Roman" w:hAnsi="Times New Roman" w:cs="Times New Roman"/>
          <w:b/>
          <w:i/>
          <w:position w:val="-6"/>
        </w:rPr>
      </w:pPr>
      <w:r>
        <w:rPr>
          <w:rFonts w:ascii="Times New Roman" w:hAnsi="Times New Roman" w:cs="Times New Roman"/>
          <w:b/>
          <w:bCs/>
          <w:i/>
          <w:position w:val="-6"/>
        </w:rPr>
        <w:t xml:space="preserve">Proposal 4: </w:t>
      </w:r>
      <w:r>
        <w:rPr>
          <w:rFonts w:ascii="Times New Roman" w:hAnsi="Times New Roman" w:cs="Times New Roman"/>
          <w:b/>
          <w:i/>
          <w:position w:val="-6"/>
        </w:rPr>
        <w:t>Repetition for multi-PUSCH</w:t>
      </w:r>
      <w:r>
        <w:rPr>
          <w:rFonts w:ascii="Times New Roman" w:hAnsi="Times New Roman" w:cs="Times New Roman"/>
          <w:b/>
          <w:i/>
          <w:position w:val="-6"/>
          <w:lang w:eastAsia="zh-CN"/>
        </w:rPr>
        <w:t>s</w:t>
      </w:r>
      <w:r>
        <w:rPr>
          <w:rFonts w:ascii="Times New Roman" w:hAnsi="Times New Roman" w:cs="Times New Roman"/>
          <w:b/>
          <w:i/>
          <w:position w:val="-6"/>
        </w:rPr>
        <w:t xml:space="preserve"> transmissions within a CG configuration can be supported. </w:t>
      </w:r>
    </w:p>
    <w:p>
      <w:pPr>
        <w:pStyle w:val="3"/>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Conclusion</w:t>
      </w:r>
    </w:p>
    <w:p>
      <w:pPr>
        <w:jc w:val="both"/>
        <w:rPr>
          <w:rFonts w:ascii="Times New Roman" w:hAnsi="Times New Roman" w:cs="Times New Roman"/>
          <w:lang w:eastAsia="zh-CN"/>
        </w:rPr>
      </w:pPr>
      <w:r>
        <w:rPr>
          <w:rFonts w:ascii="Times New Roman" w:hAnsi="Times New Roman" w:cs="Times New Roman"/>
          <w:lang w:eastAsia="zh-CN"/>
        </w:rPr>
        <w:t>In this contribution, the following observations and proposals have been made:</w:t>
      </w:r>
    </w:p>
    <w:p>
      <w:p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Observation 1: XR services have the following characteristics.</w:t>
      </w:r>
    </w:p>
    <w:p>
      <w:pPr>
        <w:pStyle w:val="83"/>
        <w:numPr>
          <w:ilvl w:val="0"/>
          <w:numId w:val="22"/>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The non-integer periodicity</w:t>
      </w:r>
    </w:p>
    <w:p>
      <w:pPr>
        <w:pStyle w:val="83"/>
        <w:numPr>
          <w:ilvl w:val="0"/>
          <w:numId w:val="22"/>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Jitter of packet arrival time</w:t>
      </w:r>
    </w:p>
    <w:p>
      <w:pPr>
        <w:pStyle w:val="83"/>
        <w:numPr>
          <w:ilvl w:val="0"/>
          <w:numId w:val="22"/>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Low latency and large packet size</w:t>
      </w:r>
    </w:p>
    <w:p>
      <w:pPr>
        <w:pStyle w:val="83"/>
        <w:numPr>
          <w:ilvl w:val="0"/>
          <w:numId w:val="22"/>
        </w:numPr>
        <w:spacing w:before="120" w:after="120" w:line="240" w:lineRule="auto"/>
        <w:jc w:val="both"/>
        <w:rPr>
          <w:rFonts w:ascii="Times New Roman" w:hAnsi="Times New Roman" w:cs="Times New Roman"/>
          <w:i/>
          <w:color w:val="000000" w:themeColor="text1"/>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Varying packet size</w:t>
      </w:r>
    </w:p>
    <w:p>
      <w:pPr>
        <w:pStyle w:val="83"/>
        <w:numPr>
          <w:ilvl w:val="0"/>
          <w:numId w:val="22"/>
        </w:numPr>
        <w:spacing w:before="120" w:after="120" w:line="240" w:lineRule="auto"/>
        <w:jc w:val="both"/>
        <w:rPr>
          <w:rFonts w:ascii="Times New Roman" w:hAnsi="Times New Roman" w:cs="Times New Roman"/>
          <w:i/>
          <w:color w:val="000000" w:themeColor="text1"/>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Multiple flows</w:t>
      </w:r>
      <w:r>
        <w:rPr>
          <w:rFonts w:ascii="Times New Roman" w:hAnsi="Times New Roman" w:cs="Times New Roman"/>
          <w:b/>
          <w:i/>
          <w:position w:val="-6"/>
        </w:rPr>
        <w:t xml:space="preserve"> </w:t>
      </w:r>
    </w:p>
    <w:p>
      <w:pPr>
        <w:jc w:val="both"/>
        <w:rPr>
          <w:rFonts w:ascii="Times New Roman" w:hAnsi="Times New Roman" w:cs="Times New Roman"/>
          <w:b/>
          <w:bCs/>
          <w:iCs/>
          <w:sz w:val="21"/>
          <w:szCs w:val="20"/>
          <w:lang w:val="en-GB" w:eastAsia="zh-CN"/>
        </w:rPr>
      </w:pPr>
      <w:r>
        <w:rPr>
          <w:rFonts w:ascii="Times New Roman" w:hAnsi="Times New Roman" w:cs="Times New Roman"/>
          <w:b/>
          <w:i/>
        </w:rPr>
        <w:t>Proposal 1: Enabling TX/RX for XR during RRM measurements</w:t>
      </w:r>
      <w:r>
        <w:rPr>
          <w:rFonts w:ascii="Times New Roman" w:hAnsi="Times New Roman" w:cs="Times New Roman"/>
          <w:b/>
          <w:i/>
          <w:lang w:eastAsia="zh-CN"/>
        </w:rPr>
        <w:t xml:space="preserve"> can be supported, and data transmission/reception can be indicated by gNB.</w:t>
      </w:r>
      <w:r>
        <w:rPr>
          <w:rFonts w:ascii="Times New Roman" w:hAnsi="Times New Roman" w:cs="Times New Roman"/>
          <w:b/>
          <w:bCs/>
          <w:iCs/>
          <w:sz w:val="21"/>
          <w:szCs w:val="20"/>
          <w:lang w:val="en-GB" w:eastAsia="zh-CN"/>
        </w:rPr>
        <w:t xml:space="preserve"> </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2: Additional TOs after the end of the configured TO within a CG period can be considered. </w:t>
      </w:r>
    </w:p>
    <w:p>
      <w:pPr>
        <w:jc w:val="both"/>
        <w:rPr>
          <w:rFonts w:ascii="Times New Roman" w:hAnsi="Times New Roman" w:cs="Times New Roman"/>
          <w:b/>
          <w:i/>
          <w:lang w:eastAsia="zh-CN"/>
        </w:rPr>
      </w:pPr>
      <w:r>
        <w:rPr>
          <w:rFonts w:ascii="Times New Roman" w:hAnsi="Times New Roman" w:cs="Times New Roman"/>
          <w:b/>
          <w:i/>
          <w:lang w:eastAsia="zh-CN"/>
        </w:rPr>
        <w:t>Proposal 3: When more than one CG configurations activation simultaneously, a UTO-UCI use to indicate un-used TOs within more than one CG configurations can be considered.</w:t>
      </w:r>
    </w:p>
    <w:p>
      <w:pPr>
        <w:jc w:val="both"/>
        <w:rPr>
          <w:rFonts w:ascii="Times New Roman" w:hAnsi="Times New Roman" w:cs="Times New Roman"/>
          <w:b/>
          <w:i/>
          <w:position w:val="-6"/>
        </w:rPr>
      </w:pPr>
      <w:r>
        <w:rPr>
          <w:rFonts w:ascii="Times New Roman" w:hAnsi="Times New Roman" w:cs="Times New Roman"/>
          <w:b/>
          <w:bCs/>
          <w:i/>
          <w:position w:val="-6"/>
        </w:rPr>
        <w:t xml:space="preserve">Proposal 4: </w:t>
      </w:r>
      <w:r>
        <w:rPr>
          <w:rFonts w:ascii="Times New Roman" w:hAnsi="Times New Roman" w:cs="Times New Roman"/>
          <w:b/>
          <w:i/>
          <w:position w:val="-6"/>
        </w:rPr>
        <w:t>Repetition for multi-PUSCH</w:t>
      </w:r>
      <w:r>
        <w:rPr>
          <w:rFonts w:ascii="Times New Roman" w:hAnsi="Times New Roman" w:cs="Times New Roman"/>
          <w:b/>
          <w:i/>
          <w:position w:val="-6"/>
          <w:lang w:eastAsia="zh-CN"/>
        </w:rPr>
        <w:t>s</w:t>
      </w:r>
      <w:bookmarkStart w:id="4" w:name="_GoBack"/>
      <w:bookmarkEnd w:id="4"/>
      <w:r>
        <w:rPr>
          <w:rFonts w:ascii="Times New Roman" w:hAnsi="Times New Roman" w:cs="Times New Roman"/>
          <w:b/>
          <w:i/>
          <w:position w:val="-6"/>
        </w:rPr>
        <w:t xml:space="preserve"> transmissions within a CG configuration can be supported.</w:t>
      </w:r>
    </w:p>
    <w:p>
      <w:pPr>
        <w:pStyle w:val="3"/>
        <w:keepNext w:val="0"/>
        <w:keepLines w:val="0"/>
        <w:widowControl w:val="0"/>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References</w:t>
      </w:r>
    </w:p>
    <w:p>
      <w:pPr>
        <w:spacing w:after="0" w:line="264" w:lineRule="auto"/>
        <w:jc w:val="both"/>
        <w:rPr>
          <w:rFonts w:ascii="Times New Roman" w:hAnsi="Times New Roman" w:eastAsia="Batang" w:cs="Times New Roman"/>
          <w:b/>
          <w:lang w:eastAsia="zh-CN" w:bidi="ar"/>
        </w:rPr>
      </w:pPr>
      <w:r>
        <w:rPr>
          <w:rFonts w:ascii="Times New Roman" w:hAnsi="Times New Roman" w:eastAsia="Calibri" w:cs="Times New Roman"/>
        </w:rPr>
        <w:t>[1]</w:t>
      </w:r>
      <w:r>
        <w:rPr>
          <w:rFonts w:ascii="Times New Roman" w:hAnsi="Times New Roman" w:eastAsia="宋体" w:cs="Times New Roman"/>
          <w:lang w:eastAsia="zh-CN"/>
        </w:rPr>
        <w:t xml:space="preserve"> RP-234057, </w:t>
      </w:r>
      <w:r>
        <w:rPr>
          <w:rFonts w:ascii="Times New Roman" w:hAnsi="Times New Roman" w:eastAsia="Batang" w:cs="Times New Roman"/>
          <w:lang w:eastAsia="zh-CN"/>
        </w:rPr>
        <w:t>XR (eXtended Reality) for NR Phase 3</w:t>
      </w:r>
      <w:r>
        <w:rPr>
          <w:rFonts w:ascii="Times New Roman" w:hAnsi="Times New Roman" w:eastAsia="Batang" w:cs="Times New Roman"/>
          <w:lang w:eastAsia="zh-CN" w:bidi="ar"/>
        </w:rPr>
        <w:t xml:space="preserve">. </w:t>
      </w:r>
    </w:p>
    <w:p>
      <w:pPr>
        <w:spacing w:after="0" w:line="264" w:lineRule="auto"/>
        <w:jc w:val="both"/>
        <w:rPr>
          <w:rFonts w:ascii="Times New Roman" w:hAnsi="Times New Roman" w:cs="Times New Roman"/>
        </w:rPr>
      </w:pPr>
      <w:r>
        <w:rPr>
          <w:rFonts w:ascii="Times New Roman" w:hAnsi="Times New Roman" w:eastAsia="Batang" w:cs="Times New Roman"/>
          <w:lang w:eastAsia="zh-CN"/>
        </w:rPr>
        <w:t xml:space="preserve">[2] TR 38.838, </w:t>
      </w:r>
      <w:r>
        <w:rPr>
          <w:rFonts w:ascii="Times New Roman" w:hAnsi="Times New Roman" w:cs="Times New Roman"/>
        </w:rPr>
        <w:t xml:space="preserve">Study on XR (Extended Reality) Evaluations for NR. </w:t>
      </w:r>
    </w:p>
    <w:p>
      <w:pPr>
        <w:spacing w:after="0" w:line="264" w:lineRule="auto"/>
        <w:jc w:val="both"/>
        <w:rPr>
          <w:rFonts w:ascii="Times New Roman" w:hAnsi="Times New Roman" w:eastAsia="Calibri" w:cs="Times New Roman"/>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9" w:usb3="00000000" w:csb0="000001FF"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ambriaMath">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07241657"/>
    <w:multiLevelType w:val="multilevel"/>
    <w:tmpl w:val="07241657"/>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1">
    <w:nsid w:val="0736624B"/>
    <w:multiLevelType w:val="multilevel"/>
    <w:tmpl w:val="073662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17E84574"/>
    <w:multiLevelType w:val="multilevel"/>
    <w:tmpl w:val="17E84574"/>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21463BD9"/>
    <w:multiLevelType w:val="multilevel"/>
    <w:tmpl w:val="21463BD9"/>
    <w:lvl w:ilvl="0" w:tentative="0">
      <w:start w:val="8"/>
      <w:numFmt w:val="bullet"/>
      <w:lvlText w:val="-"/>
      <w:lvlJc w:val="left"/>
      <w:pPr>
        <w:ind w:left="840" w:hanging="420"/>
      </w:pPr>
      <w:rPr>
        <w:rFonts w:hint="default" w:ascii="Arial" w:hAnsi="Arial" w:eastAsia="Malgun Gothic" w:cs="Aria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4">
    <w:nsid w:val="2AC22235"/>
    <w:multiLevelType w:val="multilevel"/>
    <w:tmpl w:val="2AC22235"/>
    <w:lvl w:ilvl="0" w:tentative="0">
      <w:start w:val="1"/>
      <w:numFmt w:val="bullet"/>
      <w:lvlText w:val=""/>
      <w:lvlJc w:val="left"/>
      <w:pPr>
        <w:ind w:left="420" w:hanging="420"/>
      </w:pPr>
      <w:rPr>
        <w:rFonts w:hint="default" w:ascii="Symbol" w:hAnsi="Symbol"/>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2FB0335A"/>
    <w:multiLevelType w:val="multilevel"/>
    <w:tmpl w:val="2FB0335A"/>
    <w:lvl w:ilvl="0" w:tentative="0">
      <w:start w:val="8"/>
      <w:numFmt w:val="bullet"/>
      <w:lvlText w:val="-"/>
      <w:lvlJc w:val="left"/>
      <w:pPr>
        <w:ind w:left="1140" w:hanging="420"/>
      </w:pPr>
      <w:rPr>
        <w:rFonts w:hint="default" w:ascii="Arial" w:hAnsi="Arial" w:eastAsia="Malgun Gothic" w:cs="Arial"/>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6">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8">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427965F9"/>
    <w:multiLevelType w:val="multilevel"/>
    <w:tmpl w:val="427965F9"/>
    <w:lvl w:ilvl="0" w:tentative="0">
      <w:start w:val="1"/>
      <w:numFmt w:val="bullet"/>
      <w:lvlText w:val="•"/>
      <w:lvlJc w:val="left"/>
      <w:pPr>
        <w:tabs>
          <w:tab w:val="left" w:pos="720"/>
        </w:tabs>
        <w:ind w:left="72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0">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21">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2">
    <w:nsid w:val="776D6CD5"/>
    <w:multiLevelType w:val="multilevel"/>
    <w:tmpl w:val="776D6CD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17"/>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8"/>
  </w:num>
  <w:num w:numId="13">
    <w:abstractNumId w:val="20"/>
  </w:num>
  <w:num w:numId="14">
    <w:abstractNumId w:val="21"/>
  </w:num>
  <w:num w:numId="15">
    <w:abstractNumId w:val="16"/>
  </w:num>
  <w:num w:numId="16">
    <w:abstractNumId w:val="19"/>
  </w:num>
  <w:num w:numId="17">
    <w:abstractNumId w:val="10"/>
  </w:num>
  <w:num w:numId="18">
    <w:abstractNumId w:val="11"/>
  </w:num>
  <w:num w:numId="19">
    <w:abstractNumId w:val="12"/>
  </w:num>
  <w:num w:numId="20">
    <w:abstractNumId w:val="22"/>
  </w:num>
  <w:num w:numId="21">
    <w:abstractNumId w:val="15"/>
  </w:num>
  <w:num w:numId="22">
    <w:abstractNumId w:val="1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720"/>
  <w:hyphenationZone w:val="425"/>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NzJmZjNmNTVjYjFiMWVlYjg5ZWQ5NjI0YmU2NmUifQ=="/>
  </w:docVars>
  <w:rsids>
    <w:rsidRoot w:val="4D8F1B29"/>
    <w:rsid w:val="00000C6D"/>
    <w:rsid w:val="00001D7E"/>
    <w:rsid w:val="0000259A"/>
    <w:rsid w:val="000031AE"/>
    <w:rsid w:val="00004EE8"/>
    <w:rsid w:val="000070CC"/>
    <w:rsid w:val="00010261"/>
    <w:rsid w:val="000121C8"/>
    <w:rsid w:val="000127C2"/>
    <w:rsid w:val="000140CD"/>
    <w:rsid w:val="00014857"/>
    <w:rsid w:val="0001600B"/>
    <w:rsid w:val="00022C16"/>
    <w:rsid w:val="00023008"/>
    <w:rsid w:val="000231F7"/>
    <w:rsid w:val="000320A6"/>
    <w:rsid w:val="00032102"/>
    <w:rsid w:val="000367B4"/>
    <w:rsid w:val="000415A5"/>
    <w:rsid w:val="000425C1"/>
    <w:rsid w:val="0005082B"/>
    <w:rsid w:val="00050AC7"/>
    <w:rsid w:val="00050E9C"/>
    <w:rsid w:val="00054054"/>
    <w:rsid w:val="00054C7F"/>
    <w:rsid w:val="000560CB"/>
    <w:rsid w:val="0005685A"/>
    <w:rsid w:val="00061344"/>
    <w:rsid w:val="00062C4B"/>
    <w:rsid w:val="00065EA4"/>
    <w:rsid w:val="00066C9B"/>
    <w:rsid w:val="0007190C"/>
    <w:rsid w:val="00082011"/>
    <w:rsid w:val="000864F5"/>
    <w:rsid w:val="00086CF3"/>
    <w:rsid w:val="000878A1"/>
    <w:rsid w:val="00090B32"/>
    <w:rsid w:val="00090BE1"/>
    <w:rsid w:val="0009228D"/>
    <w:rsid w:val="00093A1E"/>
    <w:rsid w:val="00093E54"/>
    <w:rsid w:val="000946D7"/>
    <w:rsid w:val="0009722B"/>
    <w:rsid w:val="00097B64"/>
    <w:rsid w:val="000A3D8A"/>
    <w:rsid w:val="000A437C"/>
    <w:rsid w:val="000A542E"/>
    <w:rsid w:val="000A5783"/>
    <w:rsid w:val="000A751F"/>
    <w:rsid w:val="000B17D0"/>
    <w:rsid w:val="000B2155"/>
    <w:rsid w:val="000B2EAF"/>
    <w:rsid w:val="000B62DF"/>
    <w:rsid w:val="000C41DF"/>
    <w:rsid w:val="000C439F"/>
    <w:rsid w:val="000C71DE"/>
    <w:rsid w:val="000C72A7"/>
    <w:rsid w:val="000D0EBE"/>
    <w:rsid w:val="000D15CE"/>
    <w:rsid w:val="000D6CD7"/>
    <w:rsid w:val="000D7BD1"/>
    <w:rsid w:val="000D7E46"/>
    <w:rsid w:val="000E18F2"/>
    <w:rsid w:val="000E20BA"/>
    <w:rsid w:val="000E4735"/>
    <w:rsid w:val="000E4DF5"/>
    <w:rsid w:val="000E5037"/>
    <w:rsid w:val="000F2464"/>
    <w:rsid w:val="000F42B3"/>
    <w:rsid w:val="000F73D6"/>
    <w:rsid w:val="00100487"/>
    <w:rsid w:val="001008DA"/>
    <w:rsid w:val="001020AF"/>
    <w:rsid w:val="001031A6"/>
    <w:rsid w:val="00110FB5"/>
    <w:rsid w:val="001128B1"/>
    <w:rsid w:val="00114D6E"/>
    <w:rsid w:val="00117DEA"/>
    <w:rsid w:val="00122B69"/>
    <w:rsid w:val="001257C8"/>
    <w:rsid w:val="00125E19"/>
    <w:rsid w:val="001270B2"/>
    <w:rsid w:val="00130070"/>
    <w:rsid w:val="001309E6"/>
    <w:rsid w:val="00132F28"/>
    <w:rsid w:val="001379FB"/>
    <w:rsid w:val="001407F2"/>
    <w:rsid w:val="001417C5"/>
    <w:rsid w:val="00147DCD"/>
    <w:rsid w:val="0015024B"/>
    <w:rsid w:val="001530C2"/>
    <w:rsid w:val="00155907"/>
    <w:rsid w:val="00155E5F"/>
    <w:rsid w:val="001570CE"/>
    <w:rsid w:val="001602FD"/>
    <w:rsid w:val="00163F21"/>
    <w:rsid w:val="001643D6"/>
    <w:rsid w:val="00164AF2"/>
    <w:rsid w:val="0017077C"/>
    <w:rsid w:val="00171ED3"/>
    <w:rsid w:val="00172729"/>
    <w:rsid w:val="00177ACE"/>
    <w:rsid w:val="0018192B"/>
    <w:rsid w:val="00182776"/>
    <w:rsid w:val="00186A30"/>
    <w:rsid w:val="001871CF"/>
    <w:rsid w:val="001904C2"/>
    <w:rsid w:val="00190CC7"/>
    <w:rsid w:val="00190D84"/>
    <w:rsid w:val="0019154D"/>
    <w:rsid w:val="00193641"/>
    <w:rsid w:val="001943DD"/>
    <w:rsid w:val="00195153"/>
    <w:rsid w:val="001A08BE"/>
    <w:rsid w:val="001A182F"/>
    <w:rsid w:val="001A2911"/>
    <w:rsid w:val="001A374C"/>
    <w:rsid w:val="001A5E1F"/>
    <w:rsid w:val="001B4E0F"/>
    <w:rsid w:val="001B6F74"/>
    <w:rsid w:val="001C26D4"/>
    <w:rsid w:val="001C4A50"/>
    <w:rsid w:val="001C5F63"/>
    <w:rsid w:val="001C69D7"/>
    <w:rsid w:val="001D142D"/>
    <w:rsid w:val="001D1FFE"/>
    <w:rsid w:val="001D3F0E"/>
    <w:rsid w:val="001D4027"/>
    <w:rsid w:val="001D53B9"/>
    <w:rsid w:val="001D6925"/>
    <w:rsid w:val="001E0D41"/>
    <w:rsid w:val="001E21B3"/>
    <w:rsid w:val="001E2E56"/>
    <w:rsid w:val="001E3AAB"/>
    <w:rsid w:val="001E5F72"/>
    <w:rsid w:val="001E6711"/>
    <w:rsid w:val="001F4D48"/>
    <w:rsid w:val="001F7221"/>
    <w:rsid w:val="0020314C"/>
    <w:rsid w:val="00206CA3"/>
    <w:rsid w:val="00210F91"/>
    <w:rsid w:val="0021530E"/>
    <w:rsid w:val="00215C2B"/>
    <w:rsid w:val="00216E1B"/>
    <w:rsid w:val="002178DC"/>
    <w:rsid w:val="0022013A"/>
    <w:rsid w:val="00221BF5"/>
    <w:rsid w:val="002230BA"/>
    <w:rsid w:val="00223293"/>
    <w:rsid w:val="002266D9"/>
    <w:rsid w:val="0022732E"/>
    <w:rsid w:val="002313ED"/>
    <w:rsid w:val="00232A9B"/>
    <w:rsid w:val="0023725D"/>
    <w:rsid w:val="0024082D"/>
    <w:rsid w:val="002423BD"/>
    <w:rsid w:val="0024246C"/>
    <w:rsid w:val="00242C82"/>
    <w:rsid w:val="00242CA2"/>
    <w:rsid w:val="00244F9D"/>
    <w:rsid w:val="00246018"/>
    <w:rsid w:val="00250954"/>
    <w:rsid w:val="002521D8"/>
    <w:rsid w:val="00252899"/>
    <w:rsid w:val="00255378"/>
    <w:rsid w:val="00255689"/>
    <w:rsid w:val="002609FB"/>
    <w:rsid w:val="002610BF"/>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4F0F"/>
    <w:rsid w:val="002953EF"/>
    <w:rsid w:val="002A057C"/>
    <w:rsid w:val="002B118E"/>
    <w:rsid w:val="002B4B0D"/>
    <w:rsid w:val="002B5B89"/>
    <w:rsid w:val="002C1788"/>
    <w:rsid w:val="002C22BA"/>
    <w:rsid w:val="002C23C2"/>
    <w:rsid w:val="002C3AC7"/>
    <w:rsid w:val="002C4687"/>
    <w:rsid w:val="002C6DF2"/>
    <w:rsid w:val="002D235E"/>
    <w:rsid w:val="002D283A"/>
    <w:rsid w:val="002E0740"/>
    <w:rsid w:val="002E5381"/>
    <w:rsid w:val="002E7FC6"/>
    <w:rsid w:val="002F26EA"/>
    <w:rsid w:val="002F3959"/>
    <w:rsid w:val="002F4816"/>
    <w:rsid w:val="002F564D"/>
    <w:rsid w:val="003003F6"/>
    <w:rsid w:val="00307D6A"/>
    <w:rsid w:val="00311150"/>
    <w:rsid w:val="003130AC"/>
    <w:rsid w:val="00313AC6"/>
    <w:rsid w:val="003155F2"/>
    <w:rsid w:val="00315D8E"/>
    <w:rsid w:val="00316B10"/>
    <w:rsid w:val="00320C73"/>
    <w:rsid w:val="00333C51"/>
    <w:rsid w:val="00334494"/>
    <w:rsid w:val="0033688D"/>
    <w:rsid w:val="003371BB"/>
    <w:rsid w:val="0033754D"/>
    <w:rsid w:val="003402FE"/>
    <w:rsid w:val="003410B4"/>
    <w:rsid w:val="003426E2"/>
    <w:rsid w:val="00344B98"/>
    <w:rsid w:val="003463FA"/>
    <w:rsid w:val="00353E26"/>
    <w:rsid w:val="003549B4"/>
    <w:rsid w:val="00356374"/>
    <w:rsid w:val="00361469"/>
    <w:rsid w:val="00361FB7"/>
    <w:rsid w:val="00362BC7"/>
    <w:rsid w:val="003634FB"/>
    <w:rsid w:val="0036435F"/>
    <w:rsid w:val="00364C66"/>
    <w:rsid w:val="00365863"/>
    <w:rsid w:val="00372E90"/>
    <w:rsid w:val="00373854"/>
    <w:rsid w:val="003758F0"/>
    <w:rsid w:val="00377010"/>
    <w:rsid w:val="00377523"/>
    <w:rsid w:val="003818CF"/>
    <w:rsid w:val="0038322C"/>
    <w:rsid w:val="00383391"/>
    <w:rsid w:val="00386220"/>
    <w:rsid w:val="00386240"/>
    <w:rsid w:val="0038642C"/>
    <w:rsid w:val="00386CD1"/>
    <w:rsid w:val="00386E0B"/>
    <w:rsid w:val="003922E9"/>
    <w:rsid w:val="003923A1"/>
    <w:rsid w:val="003925F8"/>
    <w:rsid w:val="00397816"/>
    <w:rsid w:val="003A1148"/>
    <w:rsid w:val="003A1D9B"/>
    <w:rsid w:val="003A207B"/>
    <w:rsid w:val="003A5967"/>
    <w:rsid w:val="003A5A31"/>
    <w:rsid w:val="003B43E2"/>
    <w:rsid w:val="003B46DC"/>
    <w:rsid w:val="003B6025"/>
    <w:rsid w:val="003B6D58"/>
    <w:rsid w:val="003C3EDB"/>
    <w:rsid w:val="003C46D2"/>
    <w:rsid w:val="003C4CA0"/>
    <w:rsid w:val="003C79E7"/>
    <w:rsid w:val="003D0840"/>
    <w:rsid w:val="003D2CEF"/>
    <w:rsid w:val="003D2EBB"/>
    <w:rsid w:val="003D6FB2"/>
    <w:rsid w:val="003E1E6E"/>
    <w:rsid w:val="003E28AF"/>
    <w:rsid w:val="003E3E8E"/>
    <w:rsid w:val="003E4D0A"/>
    <w:rsid w:val="003E5374"/>
    <w:rsid w:val="003E620B"/>
    <w:rsid w:val="003E7382"/>
    <w:rsid w:val="003E739B"/>
    <w:rsid w:val="003F03CD"/>
    <w:rsid w:val="003F0F86"/>
    <w:rsid w:val="003F110F"/>
    <w:rsid w:val="003F1CEA"/>
    <w:rsid w:val="003F2976"/>
    <w:rsid w:val="003F2CEA"/>
    <w:rsid w:val="003F3DF6"/>
    <w:rsid w:val="003F51E8"/>
    <w:rsid w:val="003F5216"/>
    <w:rsid w:val="003F67D4"/>
    <w:rsid w:val="00401577"/>
    <w:rsid w:val="00401B37"/>
    <w:rsid w:val="00403DB9"/>
    <w:rsid w:val="004047B3"/>
    <w:rsid w:val="00412F6D"/>
    <w:rsid w:val="00414317"/>
    <w:rsid w:val="00415752"/>
    <w:rsid w:val="00422CD5"/>
    <w:rsid w:val="00425B80"/>
    <w:rsid w:val="004310DC"/>
    <w:rsid w:val="004314B1"/>
    <w:rsid w:val="00431775"/>
    <w:rsid w:val="00431786"/>
    <w:rsid w:val="00433744"/>
    <w:rsid w:val="004347C7"/>
    <w:rsid w:val="004364F3"/>
    <w:rsid w:val="004377DA"/>
    <w:rsid w:val="00441862"/>
    <w:rsid w:val="00441CC8"/>
    <w:rsid w:val="00441E1E"/>
    <w:rsid w:val="00442B58"/>
    <w:rsid w:val="00442F9B"/>
    <w:rsid w:val="00453C3A"/>
    <w:rsid w:val="004558B9"/>
    <w:rsid w:val="004567C5"/>
    <w:rsid w:val="004576C5"/>
    <w:rsid w:val="004578A9"/>
    <w:rsid w:val="00457E1C"/>
    <w:rsid w:val="00462597"/>
    <w:rsid w:val="00463183"/>
    <w:rsid w:val="0046497F"/>
    <w:rsid w:val="00466544"/>
    <w:rsid w:val="004704B6"/>
    <w:rsid w:val="00473E2E"/>
    <w:rsid w:val="00474B05"/>
    <w:rsid w:val="00475D96"/>
    <w:rsid w:val="00481B58"/>
    <w:rsid w:val="00484A04"/>
    <w:rsid w:val="00484CAD"/>
    <w:rsid w:val="00486B91"/>
    <w:rsid w:val="00492DB4"/>
    <w:rsid w:val="00494EE6"/>
    <w:rsid w:val="0049530C"/>
    <w:rsid w:val="00495A88"/>
    <w:rsid w:val="004A0B46"/>
    <w:rsid w:val="004A3B99"/>
    <w:rsid w:val="004A3FB1"/>
    <w:rsid w:val="004B5285"/>
    <w:rsid w:val="004B623E"/>
    <w:rsid w:val="004B6A9A"/>
    <w:rsid w:val="004B79F3"/>
    <w:rsid w:val="004C1B10"/>
    <w:rsid w:val="004C1DEF"/>
    <w:rsid w:val="004C2245"/>
    <w:rsid w:val="004C2286"/>
    <w:rsid w:val="004C58F9"/>
    <w:rsid w:val="004D09E1"/>
    <w:rsid w:val="004D100F"/>
    <w:rsid w:val="004E1ED0"/>
    <w:rsid w:val="004E3D42"/>
    <w:rsid w:val="004E63DE"/>
    <w:rsid w:val="004F22AE"/>
    <w:rsid w:val="004F2B3D"/>
    <w:rsid w:val="00500474"/>
    <w:rsid w:val="00501E06"/>
    <w:rsid w:val="00502B0E"/>
    <w:rsid w:val="00504D3A"/>
    <w:rsid w:val="00510AC1"/>
    <w:rsid w:val="005129F5"/>
    <w:rsid w:val="00514A66"/>
    <w:rsid w:val="00517946"/>
    <w:rsid w:val="005221EA"/>
    <w:rsid w:val="00523E3D"/>
    <w:rsid w:val="00524899"/>
    <w:rsid w:val="005249A1"/>
    <w:rsid w:val="00525179"/>
    <w:rsid w:val="00525CD2"/>
    <w:rsid w:val="00527D7C"/>
    <w:rsid w:val="005308CC"/>
    <w:rsid w:val="0053092D"/>
    <w:rsid w:val="00531438"/>
    <w:rsid w:val="00531DF7"/>
    <w:rsid w:val="005339CB"/>
    <w:rsid w:val="00534E4B"/>
    <w:rsid w:val="005407F8"/>
    <w:rsid w:val="00541442"/>
    <w:rsid w:val="00541BAE"/>
    <w:rsid w:val="00542EDB"/>
    <w:rsid w:val="00543B4B"/>
    <w:rsid w:val="005441D2"/>
    <w:rsid w:val="00545A54"/>
    <w:rsid w:val="00545B03"/>
    <w:rsid w:val="00546B45"/>
    <w:rsid w:val="00547534"/>
    <w:rsid w:val="00550234"/>
    <w:rsid w:val="005524ED"/>
    <w:rsid w:val="00553179"/>
    <w:rsid w:val="00557D06"/>
    <w:rsid w:val="0056297E"/>
    <w:rsid w:val="00565774"/>
    <w:rsid w:val="005743B2"/>
    <w:rsid w:val="00580C11"/>
    <w:rsid w:val="005820DA"/>
    <w:rsid w:val="00584049"/>
    <w:rsid w:val="00584D06"/>
    <w:rsid w:val="005861D0"/>
    <w:rsid w:val="0058673B"/>
    <w:rsid w:val="00586B24"/>
    <w:rsid w:val="00586EB6"/>
    <w:rsid w:val="005912D1"/>
    <w:rsid w:val="005919ED"/>
    <w:rsid w:val="00593BCB"/>
    <w:rsid w:val="00594ACE"/>
    <w:rsid w:val="00595921"/>
    <w:rsid w:val="00595D3C"/>
    <w:rsid w:val="005A047C"/>
    <w:rsid w:val="005A0F36"/>
    <w:rsid w:val="005A12D9"/>
    <w:rsid w:val="005A273E"/>
    <w:rsid w:val="005A2911"/>
    <w:rsid w:val="005A321E"/>
    <w:rsid w:val="005A4DA7"/>
    <w:rsid w:val="005A5D47"/>
    <w:rsid w:val="005B1A69"/>
    <w:rsid w:val="005B28B0"/>
    <w:rsid w:val="005B413D"/>
    <w:rsid w:val="005B6395"/>
    <w:rsid w:val="005C04C4"/>
    <w:rsid w:val="005C07BF"/>
    <w:rsid w:val="005C3CD7"/>
    <w:rsid w:val="005C60B7"/>
    <w:rsid w:val="005C655D"/>
    <w:rsid w:val="005C688B"/>
    <w:rsid w:val="005C78B7"/>
    <w:rsid w:val="005C7BCB"/>
    <w:rsid w:val="005D0511"/>
    <w:rsid w:val="005D246D"/>
    <w:rsid w:val="005D5DD2"/>
    <w:rsid w:val="005D658A"/>
    <w:rsid w:val="005D6DB0"/>
    <w:rsid w:val="005F0362"/>
    <w:rsid w:val="005F1BAC"/>
    <w:rsid w:val="005F2C07"/>
    <w:rsid w:val="005F3F53"/>
    <w:rsid w:val="005F46F3"/>
    <w:rsid w:val="005F4E75"/>
    <w:rsid w:val="005F64D1"/>
    <w:rsid w:val="005F7C5E"/>
    <w:rsid w:val="00600E7B"/>
    <w:rsid w:val="0060278C"/>
    <w:rsid w:val="00606F0F"/>
    <w:rsid w:val="00607873"/>
    <w:rsid w:val="006101F4"/>
    <w:rsid w:val="00610DEE"/>
    <w:rsid w:val="006116B9"/>
    <w:rsid w:val="006137D6"/>
    <w:rsid w:val="00613F94"/>
    <w:rsid w:val="0061637C"/>
    <w:rsid w:val="006206D8"/>
    <w:rsid w:val="00621E48"/>
    <w:rsid w:val="00622501"/>
    <w:rsid w:val="00623137"/>
    <w:rsid w:val="00623DE1"/>
    <w:rsid w:val="0062471C"/>
    <w:rsid w:val="006249F9"/>
    <w:rsid w:val="00625071"/>
    <w:rsid w:val="006259B5"/>
    <w:rsid w:val="00626A32"/>
    <w:rsid w:val="00631EA7"/>
    <w:rsid w:val="0063392A"/>
    <w:rsid w:val="0064132E"/>
    <w:rsid w:val="00642150"/>
    <w:rsid w:val="00643FB4"/>
    <w:rsid w:val="0064617A"/>
    <w:rsid w:val="00647183"/>
    <w:rsid w:val="00650278"/>
    <w:rsid w:val="00650D9E"/>
    <w:rsid w:val="0065110A"/>
    <w:rsid w:val="00652105"/>
    <w:rsid w:val="00654098"/>
    <w:rsid w:val="006548A0"/>
    <w:rsid w:val="00657430"/>
    <w:rsid w:val="00657DE4"/>
    <w:rsid w:val="00662BB9"/>
    <w:rsid w:val="00671599"/>
    <w:rsid w:val="0067254A"/>
    <w:rsid w:val="00672AFF"/>
    <w:rsid w:val="00673AFD"/>
    <w:rsid w:val="00674B29"/>
    <w:rsid w:val="00674D30"/>
    <w:rsid w:val="00675CBB"/>
    <w:rsid w:val="006778E8"/>
    <w:rsid w:val="00677F10"/>
    <w:rsid w:val="00681C16"/>
    <w:rsid w:val="00681F7E"/>
    <w:rsid w:val="00683F77"/>
    <w:rsid w:val="006840E4"/>
    <w:rsid w:val="006855F1"/>
    <w:rsid w:val="00685CE6"/>
    <w:rsid w:val="00686742"/>
    <w:rsid w:val="0068683C"/>
    <w:rsid w:val="00691433"/>
    <w:rsid w:val="006943EF"/>
    <w:rsid w:val="006955F6"/>
    <w:rsid w:val="006970B6"/>
    <w:rsid w:val="00697E0A"/>
    <w:rsid w:val="006A3CE6"/>
    <w:rsid w:val="006A4C16"/>
    <w:rsid w:val="006A5862"/>
    <w:rsid w:val="006A7AA4"/>
    <w:rsid w:val="006B12D0"/>
    <w:rsid w:val="006B195F"/>
    <w:rsid w:val="006B30B2"/>
    <w:rsid w:val="006B3808"/>
    <w:rsid w:val="006B4A4A"/>
    <w:rsid w:val="006B589F"/>
    <w:rsid w:val="006C27BC"/>
    <w:rsid w:val="006C320E"/>
    <w:rsid w:val="006C3803"/>
    <w:rsid w:val="006C3844"/>
    <w:rsid w:val="006C5C1E"/>
    <w:rsid w:val="006C63F1"/>
    <w:rsid w:val="006C6E8D"/>
    <w:rsid w:val="006D0586"/>
    <w:rsid w:val="006D303A"/>
    <w:rsid w:val="006D33AF"/>
    <w:rsid w:val="006D7E67"/>
    <w:rsid w:val="006E3A46"/>
    <w:rsid w:val="006E5EA9"/>
    <w:rsid w:val="006F1BF8"/>
    <w:rsid w:val="006F28CD"/>
    <w:rsid w:val="006F38D0"/>
    <w:rsid w:val="006F4316"/>
    <w:rsid w:val="006F5168"/>
    <w:rsid w:val="006F5A97"/>
    <w:rsid w:val="00700919"/>
    <w:rsid w:val="00701A90"/>
    <w:rsid w:val="00704270"/>
    <w:rsid w:val="0070471C"/>
    <w:rsid w:val="007052F1"/>
    <w:rsid w:val="007067A7"/>
    <w:rsid w:val="007072ED"/>
    <w:rsid w:val="007073CA"/>
    <w:rsid w:val="00707641"/>
    <w:rsid w:val="00710809"/>
    <w:rsid w:val="0071184E"/>
    <w:rsid w:val="007125E6"/>
    <w:rsid w:val="00714BD2"/>
    <w:rsid w:val="007158A4"/>
    <w:rsid w:val="0072008B"/>
    <w:rsid w:val="007205DB"/>
    <w:rsid w:val="00720E16"/>
    <w:rsid w:val="0072565C"/>
    <w:rsid w:val="00730119"/>
    <w:rsid w:val="0073632C"/>
    <w:rsid w:val="00737E85"/>
    <w:rsid w:val="00743146"/>
    <w:rsid w:val="007433FA"/>
    <w:rsid w:val="007452F7"/>
    <w:rsid w:val="00745334"/>
    <w:rsid w:val="00745E1C"/>
    <w:rsid w:val="007476B5"/>
    <w:rsid w:val="00747EB7"/>
    <w:rsid w:val="00750BFB"/>
    <w:rsid w:val="00753406"/>
    <w:rsid w:val="0075342C"/>
    <w:rsid w:val="00753D2C"/>
    <w:rsid w:val="0075555A"/>
    <w:rsid w:val="007613F8"/>
    <w:rsid w:val="007616EC"/>
    <w:rsid w:val="00763BBD"/>
    <w:rsid w:val="00764B28"/>
    <w:rsid w:val="00764D5C"/>
    <w:rsid w:val="00765839"/>
    <w:rsid w:val="00765A3B"/>
    <w:rsid w:val="00767B7A"/>
    <w:rsid w:val="0077135B"/>
    <w:rsid w:val="0077562D"/>
    <w:rsid w:val="00775E2B"/>
    <w:rsid w:val="007773AF"/>
    <w:rsid w:val="0077781A"/>
    <w:rsid w:val="007837F2"/>
    <w:rsid w:val="007867C9"/>
    <w:rsid w:val="00786E51"/>
    <w:rsid w:val="00787079"/>
    <w:rsid w:val="007879BB"/>
    <w:rsid w:val="00787BE3"/>
    <w:rsid w:val="00793FC3"/>
    <w:rsid w:val="0079693F"/>
    <w:rsid w:val="007969B3"/>
    <w:rsid w:val="007A0793"/>
    <w:rsid w:val="007A1217"/>
    <w:rsid w:val="007A49DD"/>
    <w:rsid w:val="007A7A49"/>
    <w:rsid w:val="007B2077"/>
    <w:rsid w:val="007B21B8"/>
    <w:rsid w:val="007B6C51"/>
    <w:rsid w:val="007B946E"/>
    <w:rsid w:val="007C153B"/>
    <w:rsid w:val="007C1B3A"/>
    <w:rsid w:val="007C2444"/>
    <w:rsid w:val="007C2B79"/>
    <w:rsid w:val="007C2D92"/>
    <w:rsid w:val="007C30D5"/>
    <w:rsid w:val="007C5239"/>
    <w:rsid w:val="007C6BF3"/>
    <w:rsid w:val="007D3064"/>
    <w:rsid w:val="007D47ED"/>
    <w:rsid w:val="007D4D0E"/>
    <w:rsid w:val="007D50DB"/>
    <w:rsid w:val="007D58C7"/>
    <w:rsid w:val="007D5DF8"/>
    <w:rsid w:val="007D6D30"/>
    <w:rsid w:val="007E0603"/>
    <w:rsid w:val="007E23F5"/>
    <w:rsid w:val="007E3487"/>
    <w:rsid w:val="007E4BD2"/>
    <w:rsid w:val="007F705A"/>
    <w:rsid w:val="007F77E2"/>
    <w:rsid w:val="00802A3C"/>
    <w:rsid w:val="00803082"/>
    <w:rsid w:val="00803307"/>
    <w:rsid w:val="008060C5"/>
    <w:rsid w:val="0080629E"/>
    <w:rsid w:val="008071EC"/>
    <w:rsid w:val="00810832"/>
    <w:rsid w:val="00813438"/>
    <w:rsid w:val="00815760"/>
    <w:rsid w:val="00830C27"/>
    <w:rsid w:val="008347D1"/>
    <w:rsid w:val="00841DE6"/>
    <w:rsid w:val="00843C92"/>
    <w:rsid w:val="0084437F"/>
    <w:rsid w:val="008444BD"/>
    <w:rsid w:val="00845282"/>
    <w:rsid w:val="008461E6"/>
    <w:rsid w:val="00846FBA"/>
    <w:rsid w:val="008475D4"/>
    <w:rsid w:val="00852833"/>
    <w:rsid w:val="00852DB9"/>
    <w:rsid w:val="00853476"/>
    <w:rsid w:val="00853B67"/>
    <w:rsid w:val="00854930"/>
    <w:rsid w:val="008562B1"/>
    <w:rsid w:val="00864390"/>
    <w:rsid w:val="008645BE"/>
    <w:rsid w:val="008653F9"/>
    <w:rsid w:val="00866268"/>
    <w:rsid w:val="00867AE2"/>
    <w:rsid w:val="00875034"/>
    <w:rsid w:val="0087634D"/>
    <w:rsid w:val="008776BD"/>
    <w:rsid w:val="00892023"/>
    <w:rsid w:val="008930F8"/>
    <w:rsid w:val="00894D9D"/>
    <w:rsid w:val="00896C89"/>
    <w:rsid w:val="008B2674"/>
    <w:rsid w:val="008B3FB6"/>
    <w:rsid w:val="008C50DB"/>
    <w:rsid w:val="008C5E42"/>
    <w:rsid w:val="008D0B40"/>
    <w:rsid w:val="008D5B85"/>
    <w:rsid w:val="008E0887"/>
    <w:rsid w:val="008E0DED"/>
    <w:rsid w:val="008E1BF6"/>
    <w:rsid w:val="008E2DCC"/>
    <w:rsid w:val="008E4057"/>
    <w:rsid w:val="008E5D3E"/>
    <w:rsid w:val="008E6692"/>
    <w:rsid w:val="008E6F8D"/>
    <w:rsid w:val="008E7A2A"/>
    <w:rsid w:val="008F289B"/>
    <w:rsid w:val="008F56F3"/>
    <w:rsid w:val="008F59DF"/>
    <w:rsid w:val="00902058"/>
    <w:rsid w:val="00903C69"/>
    <w:rsid w:val="00904B02"/>
    <w:rsid w:val="00905322"/>
    <w:rsid w:val="00910673"/>
    <w:rsid w:val="00911C5C"/>
    <w:rsid w:val="009121C2"/>
    <w:rsid w:val="00913BF8"/>
    <w:rsid w:val="00914911"/>
    <w:rsid w:val="00917297"/>
    <w:rsid w:val="0092473B"/>
    <w:rsid w:val="00930C1D"/>
    <w:rsid w:val="00930CF8"/>
    <w:rsid w:val="0093334F"/>
    <w:rsid w:val="0093400F"/>
    <w:rsid w:val="00935BC8"/>
    <w:rsid w:val="009365C9"/>
    <w:rsid w:val="009366A8"/>
    <w:rsid w:val="009366C3"/>
    <w:rsid w:val="00943E59"/>
    <w:rsid w:val="0094423A"/>
    <w:rsid w:val="00944308"/>
    <w:rsid w:val="00945B20"/>
    <w:rsid w:val="0094641D"/>
    <w:rsid w:val="009528EC"/>
    <w:rsid w:val="0095630E"/>
    <w:rsid w:val="0095765A"/>
    <w:rsid w:val="009605D8"/>
    <w:rsid w:val="0096751E"/>
    <w:rsid w:val="00970AC8"/>
    <w:rsid w:val="009741ED"/>
    <w:rsid w:val="00974B9C"/>
    <w:rsid w:val="009772FF"/>
    <w:rsid w:val="00981069"/>
    <w:rsid w:val="00982101"/>
    <w:rsid w:val="009833F2"/>
    <w:rsid w:val="0098697C"/>
    <w:rsid w:val="009874D5"/>
    <w:rsid w:val="0099165C"/>
    <w:rsid w:val="009A1CFE"/>
    <w:rsid w:val="009A5272"/>
    <w:rsid w:val="009B0039"/>
    <w:rsid w:val="009B08C9"/>
    <w:rsid w:val="009B2231"/>
    <w:rsid w:val="009B5E5C"/>
    <w:rsid w:val="009B6C15"/>
    <w:rsid w:val="009C36BA"/>
    <w:rsid w:val="009C433B"/>
    <w:rsid w:val="009C495D"/>
    <w:rsid w:val="009C6D4C"/>
    <w:rsid w:val="009D09B3"/>
    <w:rsid w:val="009D0FBF"/>
    <w:rsid w:val="009D2719"/>
    <w:rsid w:val="009E1D5A"/>
    <w:rsid w:val="009E4361"/>
    <w:rsid w:val="009E468F"/>
    <w:rsid w:val="009E4C30"/>
    <w:rsid w:val="009E5495"/>
    <w:rsid w:val="009E560F"/>
    <w:rsid w:val="009F1CEB"/>
    <w:rsid w:val="009F72E1"/>
    <w:rsid w:val="009F77D4"/>
    <w:rsid w:val="00A015FA"/>
    <w:rsid w:val="00A01A6A"/>
    <w:rsid w:val="00A040F6"/>
    <w:rsid w:val="00A05E06"/>
    <w:rsid w:val="00A10C5C"/>
    <w:rsid w:val="00A12EA6"/>
    <w:rsid w:val="00A13A67"/>
    <w:rsid w:val="00A16668"/>
    <w:rsid w:val="00A172A8"/>
    <w:rsid w:val="00A1737B"/>
    <w:rsid w:val="00A2159A"/>
    <w:rsid w:val="00A21964"/>
    <w:rsid w:val="00A2261F"/>
    <w:rsid w:val="00A2273C"/>
    <w:rsid w:val="00A23F16"/>
    <w:rsid w:val="00A24353"/>
    <w:rsid w:val="00A249C9"/>
    <w:rsid w:val="00A25136"/>
    <w:rsid w:val="00A30796"/>
    <w:rsid w:val="00A32785"/>
    <w:rsid w:val="00A32A1F"/>
    <w:rsid w:val="00A34777"/>
    <w:rsid w:val="00A34842"/>
    <w:rsid w:val="00A35E78"/>
    <w:rsid w:val="00A35FB0"/>
    <w:rsid w:val="00A36A6B"/>
    <w:rsid w:val="00A36AB6"/>
    <w:rsid w:val="00A412FA"/>
    <w:rsid w:val="00A42EEE"/>
    <w:rsid w:val="00A46EC1"/>
    <w:rsid w:val="00A50C39"/>
    <w:rsid w:val="00A54F92"/>
    <w:rsid w:val="00A557A0"/>
    <w:rsid w:val="00A55EE1"/>
    <w:rsid w:val="00A57ECE"/>
    <w:rsid w:val="00A60527"/>
    <w:rsid w:val="00A72116"/>
    <w:rsid w:val="00A828CA"/>
    <w:rsid w:val="00A84F72"/>
    <w:rsid w:val="00A859D9"/>
    <w:rsid w:val="00A86289"/>
    <w:rsid w:val="00A90F50"/>
    <w:rsid w:val="00A91DC7"/>
    <w:rsid w:val="00A94327"/>
    <w:rsid w:val="00A94330"/>
    <w:rsid w:val="00A944F2"/>
    <w:rsid w:val="00A96451"/>
    <w:rsid w:val="00AA0736"/>
    <w:rsid w:val="00AA329C"/>
    <w:rsid w:val="00AA513F"/>
    <w:rsid w:val="00AA67C6"/>
    <w:rsid w:val="00AB02CB"/>
    <w:rsid w:val="00AB0F7D"/>
    <w:rsid w:val="00AB18E1"/>
    <w:rsid w:val="00AB23E1"/>
    <w:rsid w:val="00AB3F2E"/>
    <w:rsid w:val="00AB4910"/>
    <w:rsid w:val="00AB4CC8"/>
    <w:rsid w:val="00AB768B"/>
    <w:rsid w:val="00AC08B1"/>
    <w:rsid w:val="00AC3CE7"/>
    <w:rsid w:val="00AC5676"/>
    <w:rsid w:val="00AD4114"/>
    <w:rsid w:val="00AD48BD"/>
    <w:rsid w:val="00AD4CF0"/>
    <w:rsid w:val="00AD5435"/>
    <w:rsid w:val="00AD6E41"/>
    <w:rsid w:val="00AD6ED1"/>
    <w:rsid w:val="00AE1ED3"/>
    <w:rsid w:val="00AE1EE4"/>
    <w:rsid w:val="00AE44E7"/>
    <w:rsid w:val="00AE7831"/>
    <w:rsid w:val="00AF1CA7"/>
    <w:rsid w:val="00AF281D"/>
    <w:rsid w:val="00AF484A"/>
    <w:rsid w:val="00AF5622"/>
    <w:rsid w:val="00AF78D7"/>
    <w:rsid w:val="00AF7958"/>
    <w:rsid w:val="00B01664"/>
    <w:rsid w:val="00B02958"/>
    <w:rsid w:val="00B05E41"/>
    <w:rsid w:val="00B072AB"/>
    <w:rsid w:val="00B11A1C"/>
    <w:rsid w:val="00B13892"/>
    <w:rsid w:val="00B20B3C"/>
    <w:rsid w:val="00B21D53"/>
    <w:rsid w:val="00B23529"/>
    <w:rsid w:val="00B26801"/>
    <w:rsid w:val="00B341D0"/>
    <w:rsid w:val="00B36C88"/>
    <w:rsid w:val="00B415EA"/>
    <w:rsid w:val="00B45742"/>
    <w:rsid w:val="00B46AB9"/>
    <w:rsid w:val="00B532B8"/>
    <w:rsid w:val="00B53497"/>
    <w:rsid w:val="00B55548"/>
    <w:rsid w:val="00B609BD"/>
    <w:rsid w:val="00B64E1A"/>
    <w:rsid w:val="00B6689A"/>
    <w:rsid w:val="00B66B08"/>
    <w:rsid w:val="00B701DC"/>
    <w:rsid w:val="00B732D1"/>
    <w:rsid w:val="00B7424E"/>
    <w:rsid w:val="00B7566B"/>
    <w:rsid w:val="00B75FE8"/>
    <w:rsid w:val="00B826A7"/>
    <w:rsid w:val="00B83C17"/>
    <w:rsid w:val="00B84117"/>
    <w:rsid w:val="00B841B9"/>
    <w:rsid w:val="00B91632"/>
    <w:rsid w:val="00B95308"/>
    <w:rsid w:val="00BA33B4"/>
    <w:rsid w:val="00BA3A72"/>
    <w:rsid w:val="00BA4666"/>
    <w:rsid w:val="00BA5D9D"/>
    <w:rsid w:val="00BA6AAC"/>
    <w:rsid w:val="00BA7573"/>
    <w:rsid w:val="00BB1813"/>
    <w:rsid w:val="00BB20D3"/>
    <w:rsid w:val="00BB398A"/>
    <w:rsid w:val="00BB4C90"/>
    <w:rsid w:val="00BB5261"/>
    <w:rsid w:val="00BB6A9D"/>
    <w:rsid w:val="00BC0071"/>
    <w:rsid w:val="00BC0444"/>
    <w:rsid w:val="00BC12E1"/>
    <w:rsid w:val="00BC1873"/>
    <w:rsid w:val="00BC2F56"/>
    <w:rsid w:val="00BC4744"/>
    <w:rsid w:val="00BC4A80"/>
    <w:rsid w:val="00BC5B6F"/>
    <w:rsid w:val="00BC6A51"/>
    <w:rsid w:val="00BC7D54"/>
    <w:rsid w:val="00BD266E"/>
    <w:rsid w:val="00BD2EFA"/>
    <w:rsid w:val="00BD3173"/>
    <w:rsid w:val="00BD53CB"/>
    <w:rsid w:val="00BE040B"/>
    <w:rsid w:val="00BE1A6C"/>
    <w:rsid w:val="00BE361E"/>
    <w:rsid w:val="00BE4683"/>
    <w:rsid w:val="00BE7815"/>
    <w:rsid w:val="00BE7825"/>
    <w:rsid w:val="00C01452"/>
    <w:rsid w:val="00C0420B"/>
    <w:rsid w:val="00C07332"/>
    <w:rsid w:val="00C074AC"/>
    <w:rsid w:val="00C10FD5"/>
    <w:rsid w:val="00C1592B"/>
    <w:rsid w:val="00C16C4C"/>
    <w:rsid w:val="00C17D39"/>
    <w:rsid w:val="00C209CF"/>
    <w:rsid w:val="00C211A7"/>
    <w:rsid w:val="00C21AE6"/>
    <w:rsid w:val="00C24782"/>
    <w:rsid w:val="00C25072"/>
    <w:rsid w:val="00C30DD0"/>
    <w:rsid w:val="00C33D50"/>
    <w:rsid w:val="00C36AB4"/>
    <w:rsid w:val="00C40DDD"/>
    <w:rsid w:val="00C418E5"/>
    <w:rsid w:val="00C47C7B"/>
    <w:rsid w:val="00C508A6"/>
    <w:rsid w:val="00C51794"/>
    <w:rsid w:val="00C51F82"/>
    <w:rsid w:val="00C52170"/>
    <w:rsid w:val="00C54899"/>
    <w:rsid w:val="00C57A26"/>
    <w:rsid w:val="00C652D4"/>
    <w:rsid w:val="00C66455"/>
    <w:rsid w:val="00C7023F"/>
    <w:rsid w:val="00C75371"/>
    <w:rsid w:val="00C75432"/>
    <w:rsid w:val="00C80B0D"/>
    <w:rsid w:val="00C83AE1"/>
    <w:rsid w:val="00C86A16"/>
    <w:rsid w:val="00C87E4E"/>
    <w:rsid w:val="00C93604"/>
    <w:rsid w:val="00C9472C"/>
    <w:rsid w:val="00C97B15"/>
    <w:rsid w:val="00CA0093"/>
    <w:rsid w:val="00CA1D95"/>
    <w:rsid w:val="00CA272E"/>
    <w:rsid w:val="00CA3538"/>
    <w:rsid w:val="00CA5BE9"/>
    <w:rsid w:val="00CA66DB"/>
    <w:rsid w:val="00CB1DE4"/>
    <w:rsid w:val="00CB2750"/>
    <w:rsid w:val="00CC42CD"/>
    <w:rsid w:val="00CD25AE"/>
    <w:rsid w:val="00CD392E"/>
    <w:rsid w:val="00CD39D1"/>
    <w:rsid w:val="00CD5936"/>
    <w:rsid w:val="00CD717B"/>
    <w:rsid w:val="00CE211F"/>
    <w:rsid w:val="00CE4485"/>
    <w:rsid w:val="00CE6BB7"/>
    <w:rsid w:val="00CE7FBC"/>
    <w:rsid w:val="00CF27F6"/>
    <w:rsid w:val="00D0135C"/>
    <w:rsid w:val="00D027D0"/>
    <w:rsid w:val="00D03700"/>
    <w:rsid w:val="00D0426C"/>
    <w:rsid w:val="00D06353"/>
    <w:rsid w:val="00D065AE"/>
    <w:rsid w:val="00D104F7"/>
    <w:rsid w:val="00D12824"/>
    <w:rsid w:val="00D2037E"/>
    <w:rsid w:val="00D2073B"/>
    <w:rsid w:val="00D22509"/>
    <w:rsid w:val="00D23BED"/>
    <w:rsid w:val="00D2502C"/>
    <w:rsid w:val="00D26028"/>
    <w:rsid w:val="00D26416"/>
    <w:rsid w:val="00D26ECE"/>
    <w:rsid w:val="00D3026E"/>
    <w:rsid w:val="00D34A61"/>
    <w:rsid w:val="00D358C3"/>
    <w:rsid w:val="00D41BB0"/>
    <w:rsid w:val="00D42A4E"/>
    <w:rsid w:val="00D42EA9"/>
    <w:rsid w:val="00D43805"/>
    <w:rsid w:val="00D44354"/>
    <w:rsid w:val="00D45E53"/>
    <w:rsid w:val="00D467D9"/>
    <w:rsid w:val="00D46A26"/>
    <w:rsid w:val="00D53670"/>
    <w:rsid w:val="00D5777F"/>
    <w:rsid w:val="00D57ABC"/>
    <w:rsid w:val="00D60AB0"/>
    <w:rsid w:val="00D613BE"/>
    <w:rsid w:val="00D62E92"/>
    <w:rsid w:val="00D70FDC"/>
    <w:rsid w:val="00D713F7"/>
    <w:rsid w:val="00D73F16"/>
    <w:rsid w:val="00D819AE"/>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AEC"/>
    <w:rsid w:val="00DB5C04"/>
    <w:rsid w:val="00DC14A0"/>
    <w:rsid w:val="00DC1587"/>
    <w:rsid w:val="00DC16AB"/>
    <w:rsid w:val="00DC3014"/>
    <w:rsid w:val="00DC4715"/>
    <w:rsid w:val="00DC6D1D"/>
    <w:rsid w:val="00DC7DDE"/>
    <w:rsid w:val="00DD1CDF"/>
    <w:rsid w:val="00DD3BFF"/>
    <w:rsid w:val="00DD64D1"/>
    <w:rsid w:val="00DE182A"/>
    <w:rsid w:val="00DE1ADC"/>
    <w:rsid w:val="00DE264B"/>
    <w:rsid w:val="00DE2D5F"/>
    <w:rsid w:val="00DE3FB1"/>
    <w:rsid w:val="00DE68F4"/>
    <w:rsid w:val="00DF14D4"/>
    <w:rsid w:val="00DF1DA7"/>
    <w:rsid w:val="00DF26EC"/>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193"/>
    <w:rsid w:val="00E14FA0"/>
    <w:rsid w:val="00E17889"/>
    <w:rsid w:val="00E2016F"/>
    <w:rsid w:val="00E20AC0"/>
    <w:rsid w:val="00E232A6"/>
    <w:rsid w:val="00E24D40"/>
    <w:rsid w:val="00E320BB"/>
    <w:rsid w:val="00E33D57"/>
    <w:rsid w:val="00E346BB"/>
    <w:rsid w:val="00E346C8"/>
    <w:rsid w:val="00E35ACD"/>
    <w:rsid w:val="00E36590"/>
    <w:rsid w:val="00E37047"/>
    <w:rsid w:val="00E41966"/>
    <w:rsid w:val="00E438FF"/>
    <w:rsid w:val="00E43D58"/>
    <w:rsid w:val="00E50A0B"/>
    <w:rsid w:val="00E51A05"/>
    <w:rsid w:val="00E53D1C"/>
    <w:rsid w:val="00E55A2D"/>
    <w:rsid w:val="00E56279"/>
    <w:rsid w:val="00E56AB2"/>
    <w:rsid w:val="00E601D6"/>
    <w:rsid w:val="00E604B0"/>
    <w:rsid w:val="00E609D5"/>
    <w:rsid w:val="00E64AA5"/>
    <w:rsid w:val="00E71BB3"/>
    <w:rsid w:val="00E7245A"/>
    <w:rsid w:val="00E7356B"/>
    <w:rsid w:val="00E76692"/>
    <w:rsid w:val="00E81A77"/>
    <w:rsid w:val="00E829CA"/>
    <w:rsid w:val="00E84A96"/>
    <w:rsid w:val="00E85B2D"/>
    <w:rsid w:val="00E8609D"/>
    <w:rsid w:val="00E92870"/>
    <w:rsid w:val="00E93D54"/>
    <w:rsid w:val="00EA2B94"/>
    <w:rsid w:val="00EB0F6B"/>
    <w:rsid w:val="00EB3166"/>
    <w:rsid w:val="00EB340C"/>
    <w:rsid w:val="00EB5B9B"/>
    <w:rsid w:val="00EC21E9"/>
    <w:rsid w:val="00EC2BAE"/>
    <w:rsid w:val="00EC4084"/>
    <w:rsid w:val="00ED0E5C"/>
    <w:rsid w:val="00ED14F7"/>
    <w:rsid w:val="00ED1D6F"/>
    <w:rsid w:val="00ED5B55"/>
    <w:rsid w:val="00ED672C"/>
    <w:rsid w:val="00ED6903"/>
    <w:rsid w:val="00EE79C7"/>
    <w:rsid w:val="00EF0D63"/>
    <w:rsid w:val="00EF209E"/>
    <w:rsid w:val="00EF399A"/>
    <w:rsid w:val="00EF3F69"/>
    <w:rsid w:val="00EF58F8"/>
    <w:rsid w:val="00EF64BC"/>
    <w:rsid w:val="00F01D0E"/>
    <w:rsid w:val="00F03487"/>
    <w:rsid w:val="00F056C8"/>
    <w:rsid w:val="00F06077"/>
    <w:rsid w:val="00F07111"/>
    <w:rsid w:val="00F12067"/>
    <w:rsid w:val="00F13354"/>
    <w:rsid w:val="00F14DEB"/>
    <w:rsid w:val="00F22CD5"/>
    <w:rsid w:val="00F23391"/>
    <w:rsid w:val="00F25394"/>
    <w:rsid w:val="00F25576"/>
    <w:rsid w:val="00F26176"/>
    <w:rsid w:val="00F27556"/>
    <w:rsid w:val="00F30DDA"/>
    <w:rsid w:val="00F318A0"/>
    <w:rsid w:val="00F34A32"/>
    <w:rsid w:val="00F45A93"/>
    <w:rsid w:val="00F5257D"/>
    <w:rsid w:val="00F543AA"/>
    <w:rsid w:val="00F553F0"/>
    <w:rsid w:val="00F56735"/>
    <w:rsid w:val="00F56A75"/>
    <w:rsid w:val="00F6009E"/>
    <w:rsid w:val="00F61F0D"/>
    <w:rsid w:val="00F62D75"/>
    <w:rsid w:val="00F638C1"/>
    <w:rsid w:val="00F64BD9"/>
    <w:rsid w:val="00F65426"/>
    <w:rsid w:val="00F65FD8"/>
    <w:rsid w:val="00F665AF"/>
    <w:rsid w:val="00F72972"/>
    <w:rsid w:val="00F729DF"/>
    <w:rsid w:val="00F73DC2"/>
    <w:rsid w:val="00F80EBE"/>
    <w:rsid w:val="00F82404"/>
    <w:rsid w:val="00F826F3"/>
    <w:rsid w:val="00F827A7"/>
    <w:rsid w:val="00F837A6"/>
    <w:rsid w:val="00F83D15"/>
    <w:rsid w:val="00F849DF"/>
    <w:rsid w:val="00F853A3"/>
    <w:rsid w:val="00F8745B"/>
    <w:rsid w:val="00F87F7E"/>
    <w:rsid w:val="00F91CF4"/>
    <w:rsid w:val="00F96350"/>
    <w:rsid w:val="00F96608"/>
    <w:rsid w:val="00F9675E"/>
    <w:rsid w:val="00FA007E"/>
    <w:rsid w:val="00FA13CF"/>
    <w:rsid w:val="00FA1877"/>
    <w:rsid w:val="00FA217C"/>
    <w:rsid w:val="00FA2DD4"/>
    <w:rsid w:val="00FA458A"/>
    <w:rsid w:val="00FA55A8"/>
    <w:rsid w:val="00FA5FBC"/>
    <w:rsid w:val="00FA78A6"/>
    <w:rsid w:val="00FB1B43"/>
    <w:rsid w:val="00FB292B"/>
    <w:rsid w:val="00FB3C6E"/>
    <w:rsid w:val="00FB5B16"/>
    <w:rsid w:val="00FB671A"/>
    <w:rsid w:val="00FB6F69"/>
    <w:rsid w:val="00FC36DB"/>
    <w:rsid w:val="00FC485C"/>
    <w:rsid w:val="00FC5067"/>
    <w:rsid w:val="00FC6264"/>
    <w:rsid w:val="00FC6BCD"/>
    <w:rsid w:val="00FD0432"/>
    <w:rsid w:val="00FD0E47"/>
    <w:rsid w:val="00FD1CA4"/>
    <w:rsid w:val="00FD2DF6"/>
    <w:rsid w:val="00FD4106"/>
    <w:rsid w:val="00FD4A40"/>
    <w:rsid w:val="00FE0FA5"/>
    <w:rsid w:val="00FE217E"/>
    <w:rsid w:val="00FE2457"/>
    <w:rsid w:val="00FE5D18"/>
    <w:rsid w:val="00FF0886"/>
    <w:rsid w:val="00FF195B"/>
    <w:rsid w:val="00FF26C1"/>
    <w:rsid w:val="00FF3BEB"/>
    <w:rsid w:val="00FF3E5D"/>
    <w:rsid w:val="00FF5D7C"/>
    <w:rsid w:val="00FF6065"/>
    <w:rsid w:val="0123A874"/>
    <w:rsid w:val="0133BB3F"/>
    <w:rsid w:val="0136E97A"/>
    <w:rsid w:val="016719BD"/>
    <w:rsid w:val="01EFCF30"/>
    <w:rsid w:val="0225E0EB"/>
    <w:rsid w:val="0255040E"/>
    <w:rsid w:val="02555ED9"/>
    <w:rsid w:val="02A9D20C"/>
    <w:rsid w:val="02E8A27A"/>
    <w:rsid w:val="02F31AA5"/>
    <w:rsid w:val="0319EBDD"/>
    <w:rsid w:val="035FB593"/>
    <w:rsid w:val="03DA882E"/>
    <w:rsid w:val="03E5503B"/>
    <w:rsid w:val="03FD05D6"/>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4A5F0F"/>
    <w:rsid w:val="0D5A25F6"/>
    <w:rsid w:val="0D72D172"/>
    <w:rsid w:val="0DBAC47D"/>
    <w:rsid w:val="0DCB7A54"/>
    <w:rsid w:val="0E3F22F9"/>
    <w:rsid w:val="0E69C83F"/>
    <w:rsid w:val="0E94E810"/>
    <w:rsid w:val="0EE2BDB8"/>
    <w:rsid w:val="0F1B8311"/>
    <w:rsid w:val="0FDA0FEA"/>
    <w:rsid w:val="0FF0E729"/>
    <w:rsid w:val="0FF268D9"/>
    <w:rsid w:val="100EB924"/>
    <w:rsid w:val="10C0711E"/>
    <w:rsid w:val="10D69AC2"/>
    <w:rsid w:val="112216B0"/>
    <w:rsid w:val="112BC27A"/>
    <w:rsid w:val="1146397E"/>
    <w:rsid w:val="1163F467"/>
    <w:rsid w:val="11E537DC"/>
    <w:rsid w:val="11F8E337"/>
    <w:rsid w:val="11F9BD5C"/>
    <w:rsid w:val="11FF2556"/>
    <w:rsid w:val="125353A4"/>
    <w:rsid w:val="126D8C33"/>
    <w:rsid w:val="12904258"/>
    <w:rsid w:val="12E86DAB"/>
    <w:rsid w:val="13C35887"/>
    <w:rsid w:val="13F95C51"/>
    <w:rsid w:val="1414FD11"/>
    <w:rsid w:val="144593D6"/>
    <w:rsid w:val="14631A2F"/>
    <w:rsid w:val="1469E35D"/>
    <w:rsid w:val="149455C6"/>
    <w:rsid w:val="14CFEAF3"/>
    <w:rsid w:val="1530A9DC"/>
    <w:rsid w:val="15BFE8C7"/>
    <w:rsid w:val="15F13C9F"/>
    <w:rsid w:val="15F36ED7"/>
    <w:rsid w:val="1628698F"/>
    <w:rsid w:val="1637E367"/>
    <w:rsid w:val="16EE0173"/>
    <w:rsid w:val="174F47ED"/>
    <w:rsid w:val="176D27B6"/>
    <w:rsid w:val="17D776FB"/>
    <w:rsid w:val="1812BDF7"/>
    <w:rsid w:val="189F4623"/>
    <w:rsid w:val="18EA2EAF"/>
    <w:rsid w:val="193422AD"/>
    <w:rsid w:val="197F151F"/>
    <w:rsid w:val="198C9AE4"/>
    <w:rsid w:val="19AFE486"/>
    <w:rsid w:val="19B3164C"/>
    <w:rsid w:val="1A337354"/>
    <w:rsid w:val="1A4FC86D"/>
    <w:rsid w:val="1AA89237"/>
    <w:rsid w:val="1AEF13E7"/>
    <w:rsid w:val="1B487F15"/>
    <w:rsid w:val="1B9DCEF8"/>
    <w:rsid w:val="1BAE5C27"/>
    <w:rsid w:val="1BB776A2"/>
    <w:rsid w:val="1BE566C2"/>
    <w:rsid w:val="1C00A652"/>
    <w:rsid w:val="1C4DF02A"/>
    <w:rsid w:val="1C4EA865"/>
    <w:rsid w:val="1C903555"/>
    <w:rsid w:val="1CA1A1BD"/>
    <w:rsid w:val="1CC80DDC"/>
    <w:rsid w:val="1D034B5D"/>
    <w:rsid w:val="1D057E9E"/>
    <w:rsid w:val="1D234829"/>
    <w:rsid w:val="1D3FA4B4"/>
    <w:rsid w:val="1D4F25C2"/>
    <w:rsid w:val="1D507CA3"/>
    <w:rsid w:val="1D743260"/>
    <w:rsid w:val="1D84C657"/>
    <w:rsid w:val="1D9C9FA8"/>
    <w:rsid w:val="1DC9B5B3"/>
    <w:rsid w:val="1DD3A597"/>
    <w:rsid w:val="1E8A260F"/>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B579EB"/>
    <w:rsid w:val="25CC2502"/>
    <w:rsid w:val="26165E4D"/>
    <w:rsid w:val="26502390"/>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630889"/>
    <w:rsid w:val="2A7577AA"/>
    <w:rsid w:val="2A7C19A5"/>
    <w:rsid w:val="2AF0E1DB"/>
    <w:rsid w:val="2BE1FE7D"/>
    <w:rsid w:val="2BF8BAF8"/>
    <w:rsid w:val="2C01056A"/>
    <w:rsid w:val="2C05186A"/>
    <w:rsid w:val="2C3F6BF2"/>
    <w:rsid w:val="2D1FA190"/>
    <w:rsid w:val="2D31322C"/>
    <w:rsid w:val="2D993FCF"/>
    <w:rsid w:val="2DF2A170"/>
    <w:rsid w:val="2DFF6406"/>
    <w:rsid w:val="2EED2C96"/>
    <w:rsid w:val="2FB80EAC"/>
    <w:rsid w:val="2FE8F272"/>
    <w:rsid w:val="2FF60642"/>
    <w:rsid w:val="3040EAEC"/>
    <w:rsid w:val="30498B16"/>
    <w:rsid w:val="304EE07C"/>
    <w:rsid w:val="30792A5C"/>
    <w:rsid w:val="311A1DC2"/>
    <w:rsid w:val="31800451"/>
    <w:rsid w:val="31B04620"/>
    <w:rsid w:val="31B2671C"/>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4F8431E"/>
    <w:rsid w:val="352073D1"/>
    <w:rsid w:val="3545C55B"/>
    <w:rsid w:val="3614A14D"/>
    <w:rsid w:val="365EABA5"/>
    <w:rsid w:val="369D61A0"/>
    <w:rsid w:val="37040D59"/>
    <w:rsid w:val="37A5D59C"/>
    <w:rsid w:val="37B1ED64"/>
    <w:rsid w:val="37F45C58"/>
    <w:rsid w:val="37FFE643"/>
    <w:rsid w:val="38020F4A"/>
    <w:rsid w:val="382896AF"/>
    <w:rsid w:val="383EB10D"/>
    <w:rsid w:val="385C2081"/>
    <w:rsid w:val="38CA8BA0"/>
    <w:rsid w:val="38D92552"/>
    <w:rsid w:val="399CA544"/>
    <w:rsid w:val="3A7FFEAD"/>
    <w:rsid w:val="3A9DC011"/>
    <w:rsid w:val="3AEF8848"/>
    <w:rsid w:val="3BCF3663"/>
    <w:rsid w:val="3C223163"/>
    <w:rsid w:val="3C5067EE"/>
    <w:rsid w:val="3C55FE70"/>
    <w:rsid w:val="3CEAEC56"/>
    <w:rsid w:val="3D172AF8"/>
    <w:rsid w:val="3D333187"/>
    <w:rsid w:val="3D614C3F"/>
    <w:rsid w:val="3D8250CD"/>
    <w:rsid w:val="3DA9FA0C"/>
    <w:rsid w:val="3DEE7764"/>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AF6AFE"/>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550413"/>
    <w:rsid w:val="48659B4B"/>
    <w:rsid w:val="486ACA0B"/>
    <w:rsid w:val="48822425"/>
    <w:rsid w:val="48823D02"/>
    <w:rsid w:val="48D0EB01"/>
    <w:rsid w:val="491F1A22"/>
    <w:rsid w:val="495FB6C5"/>
    <w:rsid w:val="49E3BAEE"/>
    <w:rsid w:val="49F55AFD"/>
    <w:rsid w:val="4B7B5C1B"/>
    <w:rsid w:val="4BC7EB50"/>
    <w:rsid w:val="4C0F0254"/>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4FF74B6E"/>
    <w:rsid w:val="500D0826"/>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3C75190"/>
    <w:rsid w:val="53EA1BCD"/>
    <w:rsid w:val="53EC109A"/>
    <w:rsid w:val="5409B3C7"/>
    <w:rsid w:val="5441D9F1"/>
    <w:rsid w:val="54D72401"/>
    <w:rsid w:val="552C19E1"/>
    <w:rsid w:val="55300C8E"/>
    <w:rsid w:val="55891C9C"/>
    <w:rsid w:val="558B620A"/>
    <w:rsid w:val="55943A1A"/>
    <w:rsid w:val="55B69146"/>
    <w:rsid w:val="55C986F2"/>
    <w:rsid w:val="55D9857D"/>
    <w:rsid w:val="56177D00"/>
    <w:rsid w:val="561C2060"/>
    <w:rsid w:val="56784256"/>
    <w:rsid w:val="56BF4E49"/>
    <w:rsid w:val="57CF077F"/>
    <w:rsid w:val="57DA10A9"/>
    <w:rsid w:val="58C13791"/>
    <w:rsid w:val="58C9DF04"/>
    <w:rsid w:val="591AD592"/>
    <w:rsid w:val="5924BC01"/>
    <w:rsid w:val="5987A165"/>
    <w:rsid w:val="59BA3844"/>
    <w:rsid w:val="59D616F9"/>
    <w:rsid w:val="59DFD067"/>
    <w:rsid w:val="5A725F77"/>
    <w:rsid w:val="5A9658BC"/>
    <w:rsid w:val="5AD0167F"/>
    <w:rsid w:val="5ADD14E4"/>
    <w:rsid w:val="5B14F106"/>
    <w:rsid w:val="5B4F07ED"/>
    <w:rsid w:val="5B9A1946"/>
    <w:rsid w:val="5BA266D5"/>
    <w:rsid w:val="5BA36840"/>
    <w:rsid w:val="5C4F885B"/>
    <w:rsid w:val="5C90F1DD"/>
    <w:rsid w:val="5CA86789"/>
    <w:rsid w:val="5CE92976"/>
    <w:rsid w:val="5D63417B"/>
    <w:rsid w:val="5D8E4E18"/>
    <w:rsid w:val="5D97AFCC"/>
    <w:rsid w:val="5DD79F42"/>
    <w:rsid w:val="5E1AA210"/>
    <w:rsid w:val="5E4965AE"/>
    <w:rsid w:val="5ED05A63"/>
    <w:rsid w:val="5EF66468"/>
    <w:rsid w:val="5F10F09C"/>
    <w:rsid w:val="5F22EE18"/>
    <w:rsid w:val="5F497CA9"/>
    <w:rsid w:val="5FB56E8E"/>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7E1286C"/>
    <w:rsid w:val="68042A0A"/>
    <w:rsid w:val="681AA8BA"/>
    <w:rsid w:val="68D0A54D"/>
    <w:rsid w:val="69962FCE"/>
    <w:rsid w:val="6A2B45C1"/>
    <w:rsid w:val="6AAA9485"/>
    <w:rsid w:val="6AD541DF"/>
    <w:rsid w:val="6B49A675"/>
    <w:rsid w:val="6BA77929"/>
    <w:rsid w:val="6BB75025"/>
    <w:rsid w:val="6BB848CA"/>
    <w:rsid w:val="6BF8E92E"/>
    <w:rsid w:val="6C260E18"/>
    <w:rsid w:val="6CD42832"/>
    <w:rsid w:val="6D31EF32"/>
    <w:rsid w:val="6D3BD39B"/>
    <w:rsid w:val="6D4ECDA7"/>
    <w:rsid w:val="6DB66BBB"/>
    <w:rsid w:val="6DB8DC69"/>
    <w:rsid w:val="6DBB590E"/>
    <w:rsid w:val="6DBFE5E2"/>
    <w:rsid w:val="6E4A0A40"/>
    <w:rsid w:val="6E883A01"/>
    <w:rsid w:val="6EE12FE3"/>
    <w:rsid w:val="6F0E7CBF"/>
    <w:rsid w:val="6F2E6FF4"/>
    <w:rsid w:val="7002F905"/>
    <w:rsid w:val="70069C42"/>
    <w:rsid w:val="706F1323"/>
    <w:rsid w:val="7089E194"/>
    <w:rsid w:val="70E441B0"/>
    <w:rsid w:val="71159BCB"/>
    <w:rsid w:val="716C1D64"/>
    <w:rsid w:val="716DE8F0"/>
    <w:rsid w:val="71763A1A"/>
    <w:rsid w:val="71F59984"/>
    <w:rsid w:val="7214A937"/>
    <w:rsid w:val="722706BB"/>
    <w:rsid w:val="722CCA10"/>
    <w:rsid w:val="723661E2"/>
    <w:rsid w:val="72577269"/>
    <w:rsid w:val="725AC5DC"/>
    <w:rsid w:val="72FC57A8"/>
    <w:rsid w:val="72FC71B0"/>
    <w:rsid w:val="7314B57C"/>
    <w:rsid w:val="731C538B"/>
    <w:rsid w:val="7331A717"/>
    <w:rsid w:val="736669E6"/>
    <w:rsid w:val="738FB9D1"/>
    <w:rsid w:val="73EA0A96"/>
    <w:rsid w:val="73FB8E9E"/>
    <w:rsid w:val="7426387E"/>
    <w:rsid w:val="745987C9"/>
    <w:rsid w:val="746360FF"/>
    <w:rsid w:val="74982505"/>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2D3E7B"/>
    <w:rsid w:val="7C38C02B"/>
    <w:rsid w:val="7C4C37BA"/>
    <w:rsid w:val="7CD4B096"/>
    <w:rsid w:val="7D146DE8"/>
    <w:rsid w:val="7D8705EA"/>
    <w:rsid w:val="7E302BAB"/>
    <w:rsid w:val="7E7EC4E6"/>
    <w:rsid w:val="7EC4C3B7"/>
    <w:rsid w:val="7ECEF2B5"/>
    <w:rsid w:val="7F143056"/>
    <w:rsid w:val="7F868BB6"/>
    <w:rsid w:val="7F8C2A13"/>
    <w:rsid w:val="7FE83159"/>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1"/>
    <w:next w:val="1"/>
    <w:link w:val="84"/>
    <w:autoRedefine/>
    <w:unhideWhenUsed/>
    <w:qFormat/>
    <w:uiPriority w:val="9"/>
    <w:pPr>
      <w:keepNext/>
      <w:keepLines/>
      <w:numPr>
        <w:ilvl w:val="1"/>
        <w:numId w:val="1"/>
      </w:numPr>
      <w:spacing w:before="240"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autoRedefine/>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autoRedefine/>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autoRedefine/>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autoRedefine/>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autoRedefine/>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autoRedefine/>
    <w:semiHidden/>
    <w:unhideWhenUsed/>
    <w:qFormat/>
    <w:uiPriority w:val="1"/>
  </w:style>
  <w:style w:type="table" w:default="1" w:styleId="69">
    <w:name w:val="Normal Table"/>
    <w:autoRedefine/>
    <w:semiHidden/>
    <w:unhideWhenUsed/>
    <w:qFormat/>
    <w:uiPriority w:val="99"/>
    <w:tblPr>
      <w:tblCellMar>
        <w:top w:w="0" w:type="dxa"/>
        <w:left w:w="108" w:type="dxa"/>
        <w:bottom w:w="0" w:type="dxa"/>
        <w:right w:w="108" w:type="dxa"/>
      </w:tblCellMar>
    </w:tblPr>
  </w:style>
  <w:style w:type="paragraph" w:styleId="2">
    <w:name w:val="macro"/>
    <w:link w:val="130"/>
    <w:autoRedefine/>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autoRedefine/>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autoRedefine/>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autoRedefine/>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next w:val="1"/>
    <w:autoRedefine/>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autoRedefine/>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autoRedefine/>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autoRedefine/>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autoRedefine/>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autoRedefine/>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autoRedefine/>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autoRedefine/>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autoRedefine/>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autoRedefine/>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autoRedefine/>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autoRedefine/>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autoRedefine/>
    <w:unhideWhenUsed/>
    <w:qFormat/>
    <w:uiPriority w:val="0"/>
  </w:style>
  <w:style w:type="paragraph" w:styleId="28">
    <w:name w:val="index 6"/>
    <w:basedOn w:val="1"/>
    <w:next w:val="1"/>
    <w:autoRedefine/>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autoRedefine/>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autoRedefine/>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autoRedefine/>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autoRedefine/>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autoRedefine/>
    <w:semiHidden/>
    <w:unhideWhenUsed/>
    <w:qFormat/>
    <w:uiPriority w:val="99"/>
    <w:pPr>
      <w:ind w:left="100" w:leftChars="200" w:hanging="200" w:hangingChars="200"/>
      <w:contextualSpacing/>
    </w:pPr>
  </w:style>
  <w:style w:type="paragraph" w:styleId="34">
    <w:name w:val="Block Text"/>
    <w:basedOn w:val="1"/>
    <w:autoRedefine/>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autoRedefine/>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autoRedefine/>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autoRedefine/>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autoRedefine/>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autoRedefine/>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autoRedefine/>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autoRedefine/>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autoRedefine/>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autoRedefine/>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autoRedefine/>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autoRedefine/>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autoRedefine/>
    <w:unhideWhenUsed/>
    <w:qFormat/>
    <w:uiPriority w:val="0"/>
    <w:pPr>
      <w:spacing w:after="0" w:line="240" w:lineRule="auto"/>
    </w:pPr>
    <w:rPr>
      <w:sz w:val="18"/>
      <w:szCs w:val="18"/>
    </w:rPr>
  </w:style>
  <w:style w:type="paragraph" w:styleId="48">
    <w:name w:val="footer"/>
    <w:basedOn w:val="1"/>
    <w:link w:val="99"/>
    <w:autoRedefine/>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autoRedefine/>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autoRedefine/>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autoRedefine/>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autoRedefine/>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autoRedefine/>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autoRedefine/>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autoRedefine/>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autoRedefine/>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autoRedefine/>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autoRedefine/>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autoRedefine/>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autoRedefine/>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autoRedefine/>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autoRedefine/>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autoRedefine/>
    <w:qFormat/>
    <w:uiPriority w:val="22"/>
    <w:rPr>
      <w:b/>
      <w:bCs/>
    </w:rPr>
  </w:style>
  <w:style w:type="character" w:styleId="73">
    <w:name w:val="endnote reference"/>
    <w:qFormat/>
    <w:uiPriority w:val="0"/>
    <w:rPr>
      <w:vertAlign w:val="superscript"/>
    </w:rPr>
  </w:style>
  <w:style w:type="character" w:styleId="74">
    <w:name w:val="page number"/>
    <w:autoRedefine/>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autoRedefine/>
    <w:qFormat/>
    <w:uiPriority w:val="0"/>
    <w:rPr>
      <w:vertAlign w:val="superscript"/>
    </w:rPr>
  </w:style>
  <w:style w:type="paragraph" w:styleId="80">
    <w:name w:val="No Spacing"/>
    <w:autoRedefine/>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autoRedefine/>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autoRedefine/>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Mention"/>
    <w:basedOn w:val="71"/>
    <w:autoRedefine/>
    <w:unhideWhenUsed/>
    <w:qFormat/>
    <w:uiPriority w:val="99"/>
    <w:rPr>
      <w:color w:val="2B579A"/>
      <w:shd w:val="clear" w:color="auto" w:fill="E6E6E6"/>
    </w:rPr>
  </w:style>
  <w:style w:type="character" w:customStyle="1" w:styleId="86">
    <w:name w:val="fontstyle01"/>
    <w:basedOn w:val="71"/>
    <w:autoRedefine/>
    <w:qFormat/>
    <w:uiPriority w:val="0"/>
    <w:rPr>
      <w:rFonts w:hint="default" w:ascii="TimesNewRomanPSMT" w:hAnsi="TimesNewRomanPSMT"/>
      <w:color w:val="000000"/>
      <w:sz w:val="20"/>
      <w:szCs w:val="20"/>
    </w:rPr>
  </w:style>
  <w:style w:type="character" w:customStyle="1" w:styleId="87">
    <w:name w:val="fontstyle21"/>
    <w:basedOn w:val="71"/>
    <w:autoRedefine/>
    <w:qFormat/>
    <w:uiPriority w:val="0"/>
    <w:rPr>
      <w:rFonts w:hint="default" w:ascii="TimesNewRomanPS-ItalicMT" w:hAnsi="TimesNewRomanPS-ItalicMT"/>
      <w:i/>
      <w:iCs/>
      <w:color w:val="000000"/>
      <w:sz w:val="20"/>
      <w:szCs w:val="20"/>
    </w:rPr>
  </w:style>
  <w:style w:type="character" w:customStyle="1" w:styleId="88">
    <w:name w:val="页眉 字符1"/>
    <w:link w:val="49"/>
    <w:autoRedefine/>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autoRedefine/>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autoRedefine/>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autoRedefine/>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autoRedefine/>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qFormat/>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出段落 字符1"/>
    <w:link w:val="83"/>
    <w:autoRedefine/>
    <w:qFormat/>
    <w:locked/>
    <w:uiPriority w:val="34"/>
  </w:style>
  <w:style w:type="paragraph" w:customStyle="1" w:styleId="101">
    <w:name w:val="Proposal"/>
    <w:basedOn w:val="1"/>
    <w:autoRedefine/>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autoRedefine/>
    <w:qFormat/>
    <w:uiPriority w:val="5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autoRedefine/>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autoRedefine/>
    <w:qFormat/>
    <w:uiPriority w:val="46"/>
    <w:rPr>
      <w:rFonts w:ascii="Times New Roman" w:hAnsi="Times New Roman" w:cs="Times New Roman"/>
    </w:rPr>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autoRedefine/>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autoRedefine/>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autoRedefine/>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autoRedefine/>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autoRedefine/>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autoRedefine/>
    <w:qFormat/>
    <w:uiPriority w:val="0"/>
    <w:rPr>
      <w:rFonts w:ascii="Times New Roman" w:hAnsi="Times New Roman" w:eastAsia="Arial" w:cs="Times New Roman"/>
      <w:sz w:val="18"/>
      <w:szCs w:val="20"/>
      <w:lang w:val="en-GB" w:eastAsia="zh-CN"/>
    </w:rPr>
  </w:style>
  <w:style w:type="character" w:customStyle="1" w:styleId="120">
    <w:name w:val="正文首行缩进 2 字符"/>
    <w:basedOn w:val="119"/>
    <w:link w:val="68"/>
    <w:autoRedefine/>
    <w:qFormat/>
    <w:uiPriority w:val="0"/>
    <w:rPr>
      <w:rFonts w:ascii="Times New Roman" w:hAnsi="Times New Roman" w:eastAsia="Arial" w:cs="Times New Roman"/>
      <w:sz w:val="18"/>
      <w:szCs w:val="20"/>
      <w:lang w:val="en-GB" w:eastAsia="zh-CN"/>
    </w:rPr>
  </w:style>
  <w:style w:type="character" w:customStyle="1" w:styleId="121">
    <w:name w:val="正文首行缩进 字符"/>
    <w:basedOn w:val="93"/>
    <w:link w:val="67"/>
    <w:autoRedefine/>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qFormat/>
    <w:uiPriority w:val="0"/>
    <w:rPr>
      <w:rFonts w:ascii="Times New Roman" w:hAnsi="Times New Roman" w:eastAsia="Arial" w:cs="Times New Roman"/>
      <w:sz w:val="18"/>
      <w:szCs w:val="20"/>
      <w:lang w:val="en-GB" w:eastAsia="zh-CN"/>
    </w:rPr>
  </w:style>
  <w:style w:type="paragraph" w:customStyle="1" w:styleId="124">
    <w:name w:val="Bullets"/>
    <w:basedOn w:val="1"/>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autoRedefine/>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autoRedefine/>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autoRedefine/>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autoRedefine/>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autoRedefine/>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autoRedefine/>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autoRedefine/>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autoRedefine/>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autoRedefine/>
    <w:qFormat/>
    <w:uiPriority w:val="0"/>
    <w:rPr>
      <w:rFonts w:ascii="Arial" w:hAnsi="Arial" w:eastAsia="Times New Roman" w:cs="Times New Roman"/>
      <w:b/>
      <w:sz w:val="20"/>
      <w:szCs w:val="20"/>
      <w:lang w:val="zh-CN" w:eastAsia="zh-CN"/>
    </w:rPr>
  </w:style>
  <w:style w:type="paragraph" w:customStyle="1" w:styleId="151">
    <w:name w:val="PL"/>
    <w:link w:val="152"/>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autoRedefine/>
    <w:qFormat/>
    <w:uiPriority w:val="0"/>
    <w:rPr>
      <w:rFonts w:ascii="Courier New" w:hAnsi="Courier New" w:eastAsia="Times New Roman" w:cs="Times New Roman"/>
      <w:sz w:val="16"/>
      <w:szCs w:val="20"/>
    </w:rPr>
  </w:style>
  <w:style w:type="character" w:customStyle="1" w:styleId="153">
    <w:name w:val="Unresolved Mention1"/>
    <w:basedOn w:val="71"/>
    <w:autoRedefine/>
    <w:semiHidden/>
    <w:unhideWhenUsed/>
    <w:qFormat/>
    <w:uiPriority w:val="99"/>
    <w:rPr>
      <w:color w:val="808080"/>
      <w:shd w:val="clear" w:color="auto" w:fill="E6E6E6"/>
    </w:rPr>
  </w:style>
  <w:style w:type="paragraph" w:customStyle="1" w:styleId="154">
    <w:name w:val="Style Heading 1NMP Heading 1H1h11h12h13h14h15h16app headin..."/>
    <w:basedOn w:val="3"/>
    <w:autoRedefine/>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autoRedefine/>
    <w:semiHidden/>
    <w:unhideWhenUsed/>
    <w:qFormat/>
    <w:uiPriority w:val="99"/>
    <w:rPr>
      <w:color w:val="605E5C"/>
      <w:shd w:val="clear" w:color="auto" w:fill="E1DFDD"/>
    </w:rPr>
  </w:style>
  <w:style w:type="paragraph" w:customStyle="1" w:styleId="156">
    <w:name w:val="样式1"/>
    <w:basedOn w:val="1"/>
    <w:autoRedefine/>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autoRedefine/>
    <w:qFormat/>
    <w:uiPriority w:val="0"/>
    <w:rPr>
      <w:b/>
    </w:rPr>
  </w:style>
  <w:style w:type="paragraph" w:customStyle="1" w:styleId="158">
    <w:name w:val="TAC"/>
    <w:basedOn w:val="1"/>
    <w:link w:val="159"/>
    <w:autoRedefine/>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autoRedefine/>
    <w:qFormat/>
    <w:locked/>
    <w:uiPriority w:val="0"/>
    <w:rPr>
      <w:rFonts w:ascii="Arial" w:hAnsi="Arial" w:cs="Times New Roman"/>
      <w:sz w:val="18"/>
      <w:szCs w:val="20"/>
      <w:lang w:val="en-GB"/>
    </w:rPr>
  </w:style>
  <w:style w:type="character" w:customStyle="1" w:styleId="160">
    <w:name w:val="TAH Car"/>
    <w:link w:val="157"/>
    <w:autoRedefine/>
    <w:qFormat/>
    <w:locked/>
    <w:uiPriority w:val="0"/>
    <w:rPr>
      <w:rFonts w:ascii="Arial" w:hAnsi="Arial" w:cs="Times New Roman"/>
      <w:b/>
      <w:sz w:val="18"/>
      <w:szCs w:val="20"/>
      <w:lang w:val="en-GB"/>
    </w:rPr>
  </w:style>
  <w:style w:type="character" w:customStyle="1" w:styleId="161">
    <w:name w:val="访问过的超链接1"/>
    <w:basedOn w:val="71"/>
    <w:autoRedefine/>
    <w:semiHidden/>
    <w:unhideWhenUsed/>
    <w:qFormat/>
    <w:uiPriority w:val="0"/>
    <w:rPr>
      <w:color w:val="954F72"/>
      <w:u w:val="single"/>
    </w:rPr>
  </w:style>
  <w:style w:type="character" w:styleId="162">
    <w:name w:val="Placeholder Text"/>
    <w:basedOn w:val="71"/>
    <w:autoRedefine/>
    <w:semiHidden/>
    <w:qFormat/>
    <w:uiPriority w:val="99"/>
    <w:rPr>
      <w:color w:val="808080"/>
    </w:rPr>
  </w:style>
  <w:style w:type="table" w:customStyle="1" w:styleId="163">
    <w:name w:val="网格表 4 - 着色 51"/>
    <w:basedOn w:val="69"/>
    <w:autoRedefine/>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autoRedefine/>
    <w:qFormat/>
    <w:uiPriority w:val="0"/>
    <w:rPr>
      <w:rFonts w:hint="default" w:ascii="TimesNewRomanPSMT" w:hAnsi="TimesNewRomanPSMT"/>
      <w:color w:val="000000"/>
      <w:sz w:val="54"/>
      <w:szCs w:val="54"/>
    </w:rPr>
  </w:style>
  <w:style w:type="paragraph" w:customStyle="1" w:styleId="165">
    <w:name w:val="TAN"/>
    <w:basedOn w:val="1"/>
    <w:link w:val="166"/>
    <w:autoRedefine/>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autoRedefine/>
    <w:qFormat/>
    <w:uiPriority w:val="0"/>
    <w:rPr>
      <w:rFonts w:ascii="Arial" w:hAnsi="Arial" w:eastAsia="Arial" w:cs="Times New Roman"/>
      <w:sz w:val="18"/>
      <w:szCs w:val="20"/>
      <w:lang w:val="en-GB"/>
    </w:rPr>
  </w:style>
  <w:style w:type="character" w:customStyle="1" w:styleId="167">
    <w:name w:val="number2"/>
    <w:basedOn w:val="71"/>
    <w:autoRedefine/>
    <w:qFormat/>
    <w:uiPriority w:val="0"/>
  </w:style>
  <w:style w:type="paragraph" w:customStyle="1" w:styleId="168">
    <w:name w:val="TAL"/>
    <w:basedOn w:val="1"/>
    <w:link w:val="169"/>
    <w:autoRedefine/>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autoRedefine/>
    <w:qFormat/>
    <w:uiPriority w:val="0"/>
    <w:rPr>
      <w:rFonts w:ascii="Arial" w:hAnsi="Arial" w:eastAsia="Times New Roman" w:cs="Times New Roman"/>
      <w:sz w:val="18"/>
      <w:szCs w:val="20"/>
      <w:lang w:val="en-GB" w:eastAsia="ja-JP"/>
    </w:rPr>
  </w:style>
  <w:style w:type="character" w:customStyle="1" w:styleId="170">
    <w:name w:val="B1 Zchn"/>
    <w:autoRedefine/>
    <w:qFormat/>
    <w:uiPriority w:val="0"/>
    <w:rPr>
      <w:lang w:val="en-GB" w:eastAsia="en-US"/>
    </w:rPr>
  </w:style>
  <w:style w:type="table" w:customStyle="1" w:styleId="171">
    <w:name w:val="网格表 4 - 着色 21"/>
    <w:basedOn w:val="69"/>
    <w:autoRedefine/>
    <w:qFormat/>
    <w:uiPriority w:val="49"/>
    <w:rPr>
      <w:rFonts w:ascii="Times New Roman" w:hAnsi="Times New Roman" w:cs="Times New Roman"/>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autoRedefine/>
    <w:qFormat/>
    <w:uiPriority w:val="0"/>
    <w:rPr>
      <w:rFonts w:hint="default" w:ascii="CambriaMath" w:hAnsi="CambriaMath"/>
      <w:color w:val="000000"/>
      <w:sz w:val="20"/>
      <w:szCs w:val="20"/>
    </w:rPr>
  </w:style>
  <w:style w:type="character" w:customStyle="1" w:styleId="173">
    <w:name w:val="tgt1"/>
    <w:basedOn w:val="71"/>
    <w:autoRedefine/>
    <w:qFormat/>
    <w:uiPriority w:val="0"/>
  </w:style>
  <w:style w:type="table" w:customStyle="1" w:styleId="174">
    <w:name w:val="网格表 5 深色 - 着色 51"/>
    <w:basedOn w:val="69"/>
    <w:autoRedefine/>
    <w:qFormat/>
    <w:uiPriority w:val="50"/>
    <w:rPr>
      <w:rFonts w:ascii="Times New Roman" w:hAnsi="Times New Roman"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autoRedefine/>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autoRedefine/>
    <w:qFormat/>
    <w:uiPriority w:val="50"/>
    <w:rPr>
      <w:rFonts w:ascii="Times New Roman" w:hAnsi="Times New Roman"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autoRedefine/>
    <w:qFormat/>
    <w:uiPriority w:val="49"/>
    <w:rPr>
      <w:rFonts w:ascii="Times New Roman" w:hAnsi="Times New Roman" w:cs="Times New Roman"/>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autoRedefine/>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autoRedefine/>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autoRedefine/>
    <w:qFormat/>
    <w:uiPriority w:val="50"/>
    <w:rPr>
      <w:rFonts w:ascii="Times New Roman" w:hAnsi="Times New Roman"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autoRedefine/>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autoRedefine/>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autoRedefine/>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paragraph" w:customStyle="1" w:styleId="185">
    <w:name w:val="x_msonormal"/>
    <w:basedOn w:val="1"/>
    <w:autoRedefine/>
    <w:qFormat/>
    <w:uiPriority w:val="0"/>
    <w:pPr>
      <w:spacing w:before="100" w:beforeAutospacing="1" w:after="100" w:afterAutospacing="1" w:line="240" w:lineRule="auto"/>
    </w:pPr>
    <w:rPr>
      <w:rFonts w:ascii="Calibri" w:hAnsi="Calibri" w:cs="Calibri" w:eastAsiaTheme="minorHAnsi"/>
      <w:lang w:val="en-GB" w:eastAsia="en-GB"/>
    </w:rPr>
  </w:style>
  <w:style w:type="character" w:customStyle="1" w:styleId="186">
    <w:name w:val="列出段落 字符"/>
    <w:basedOn w:val="71"/>
    <w:link w:val="187"/>
    <w:autoRedefine/>
    <w:qFormat/>
    <w:uiPriority w:val="34"/>
    <w:rPr>
      <w:rFonts w:hint="default" w:ascii="Times New Roman" w:hAnsi="Times New Roman" w:cs="Times New Roman"/>
      <w:sz w:val="22"/>
    </w:rPr>
  </w:style>
  <w:style w:type="paragraph" w:customStyle="1" w:styleId="187">
    <w:name w:val="列出段落1"/>
    <w:basedOn w:val="1"/>
    <w:link w:val="186"/>
    <w:autoRedefine/>
    <w:qFormat/>
    <w:uiPriority w:val="0"/>
    <w:pPr>
      <w:widowControl w:val="0"/>
      <w:adjustRightInd w:val="0"/>
      <w:snapToGrid w:val="0"/>
      <w:spacing w:before="30" w:beforeLines="30" w:after="0" w:line="60" w:lineRule="atLeast"/>
      <w:ind w:firstLine="420" w:firstLineChars="200"/>
      <w:jc w:val="both"/>
    </w:pPr>
    <w:rPr>
      <w:rFonts w:ascii="Times New Roman" w:hAnsi="Times New Roman" w:eastAsia="宋体" w:cs="Times New Roman"/>
      <w:kern w:val="2"/>
      <w:lang w:eastAsia="zh-CN"/>
    </w:rPr>
  </w:style>
  <w:style w:type="paragraph" w:customStyle="1" w:styleId="188">
    <w:name w:val="列出段落2"/>
    <w:basedOn w:val="1"/>
    <w:autoRedefine/>
    <w:qFormat/>
    <w:uiPriority w:val="0"/>
    <w:pPr>
      <w:spacing w:before="100" w:beforeAutospacing="1" w:after="100" w:afterAutospacing="1" w:line="240" w:lineRule="auto"/>
      <w:ind w:left="720" w:hanging="360"/>
    </w:pPr>
    <w:rPr>
      <w:rFonts w:ascii="Times New Roman" w:hAnsi="Times New Roman" w:eastAsia="Calibri" w:cs="Times New Roman"/>
      <w:sz w:val="24"/>
      <w:szCs w:val="24"/>
      <w:lang w:eastAsia="zh-CN"/>
    </w:rPr>
  </w:style>
  <w:style w:type="character" w:customStyle="1" w:styleId="189">
    <w:name w:val="15"/>
    <w:basedOn w:val="71"/>
    <w:autoRedefine/>
    <w:qFormat/>
    <w:uiPriority w:val="0"/>
    <w:rPr>
      <w:rFonts w:hint="default" w:ascii="Times New Roman" w:hAnsi="Times New Roman" w:cs="Times New Roman"/>
      <w:color w:val="0563C1"/>
      <w:u w:val="single"/>
    </w:rPr>
  </w:style>
  <w:style w:type="paragraph" w:customStyle="1" w:styleId="190">
    <w:name w:val="正文1"/>
    <w:autoRedefine/>
    <w:qFormat/>
    <w:uiPriority w:val="0"/>
    <w:pPr>
      <w:jc w:val="both"/>
    </w:pPr>
    <w:rPr>
      <w:rFonts w:ascii="Times New Roman" w:hAnsi="Times New Roman" w:eastAsia="宋体" w:cs="Times New Roman"/>
      <w:kern w:val="2"/>
      <w:sz w:val="21"/>
      <w:szCs w:val="21"/>
      <w:lang w:val="en-US" w:eastAsia="zh-CN" w:bidi="ar-SA"/>
    </w:rPr>
  </w:style>
  <w:style w:type="paragraph" w:customStyle="1" w:styleId="191">
    <w:name w:val="正文2"/>
    <w:basedOn w:val="1"/>
    <w:autoRedefine/>
    <w:qFormat/>
    <w:uiPriority w:val="0"/>
    <w:pPr>
      <w:spacing w:after="0" w:line="240" w:lineRule="auto"/>
      <w:jc w:val="both"/>
    </w:pPr>
    <w:rPr>
      <w:rFonts w:ascii="Times New Roman" w:hAnsi="Times New Roman" w:eastAsia="宋体" w:cs="Times New Roman"/>
      <w:kern w:val="2"/>
      <w:sz w:val="21"/>
      <w:szCs w:val="21"/>
      <w:lang w:eastAsia="zh-CN"/>
    </w:rPr>
  </w:style>
  <w:style w:type="character" w:customStyle="1" w:styleId="192">
    <w:name w:val="contentpasted2"/>
    <w:basedOn w:val="71"/>
    <w:autoRedefine/>
    <w:qFormat/>
    <w:uiPriority w:val="0"/>
  </w:style>
  <w:style w:type="paragraph" w:customStyle="1" w:styleId="193">
    <w:name w:val="Editor's Note"/>
    <w:basedOn w:val="1"/>
    <w:link w:val="194"/>
    <w:autoRedefine/>
    <w:qFormat/>
    <w:uiPriority w:val="0"/>
    <w:pPr>
      <w:keepLines/>
      <w:ind w:left="1135" w:hanging="851"/>
    </w:pPr>
    <w:rPr>
      <w:rFonts w:ascii="Arial" w:hAnsi="Arial" w:eastAsiaTheme="minorHAnsi"/>
      <w:color w:val="FF0000"/>
      <w:sz w:val="20"/>
      <w:lang w:val="zh-CN" w:eastAsia="zh-CN"/>
    </w:rPr>
  </w:style>
  <w:style w:type="character" w:customStyle="1" w:styleId="194">
    <w:name w:val="Editor's Note Char"/>
    <w:link w:val="193"/>
    <w:autoRedefine/>
    <w:qFormat/>
    <w:uiPriority w:val="0"/>
    <w:rPr>
      <w:rFonts w:ascii="Arial" w:hAnsi="Arial" w:eastAsiaTheme="minorHAnsi" w:cstheme="minorBidi"/>
      <w:color w:val="FF0000"/>
      <w:szCs w:val="22"/>
      <w:lang w:val="zh-CN"/>
    </w:rPr>
  </w:style>
  <w:style w:type="paragraph" w:customStyle="1" w:styleId="195">
    <w:name w:val="Guidance"/>
    <w:basedOn w:val="1"/>
    <w:autoRedefine/>
    <w:qFormat/>
    <w:uiPriority w:val="0"/>
    <w:pPr>
      <w:overflowPunct w:val="0"/>
      <w:autoSpaceDE w:val="0"/>
      <w:autoSpaceDN w:val="0"/>
      <w:adjustRightInd w:val="0"/>
      <w:spacing w:after="180" w:line="240" w:lineRule="auto"/>
    </w:pPr>
    <w:rPr>
      <w:rFonts w:ascii="Times New Roman" w:hAnsi="Times New Roman" w:eastAsia="Times New Roman" w:cs="Times New Roman"/>
      <w:i/>
      <w:color w:val="000000"/>
      <w:sz w:val="20"/>
      <w:szCs w:val="20"/>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41E8A879-6920-43FC-BBE2-13AC2B4D5EF2}">
  <ds:schemaRefs/>
</ds:datastoreItem>
</file>

<file path=customXml/itemProps2.xml><?xml version="1.0" encoding="utf-8"?>
<ds:datastoreItem xmlns:ds="http://schemas.openxmlformats.org/officeDocument/2006/customXml" ds:itemID="{752908AD-8FEE-4AE6-94F6-C979F117B291}">
  <ds:schemaRefs/>
</ds:datastoreItem>
</file>

<file path=customXml/itemProps3.xml><?xml version="1.0" encoding="utf-8"?>
<ds:datastoreItem xmlns:ds="http://schemas.openxmlformats.org/officeDocument/2006/customXml" ds:itemID="{EC3856BB-FA30-4221-A957-89C7D07F3980}">
  <ds:schemaRefs/>
</ds:datastoreItem>
</file>

<file path=customXml/itemProps4.xml><?xml version="1.0" encoding="utf-8"?>
<ds:datastoreItem xmlns:ds="http://schemas.openxmlformats.org/officeDocument/2006/customXml" ds:itemID="{04B6204E-FF36-4020-B51B-B13A2E570E76}">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1636</Words>
  <Characters>9327</Characters>
  <Lines>77</Lines>
  <Paragraphs>21</Paragraphs>
  <TotalTime>1</TotalTime>
  <ScaleCrop>false</ScaleCrop>
  <LinksUpToDate>false</LinksUpToDate>
  <CharactersWithSpaces>10942</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2024-02-19T11:47:10Z</dcterms:modified>
  <cp:revision>1152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2052-12.1.0.16250</vt:lpwstr>
  </property>
  <property fmtid="{D5CDD505-2E9C-101B-9397-08002B2CF9AE}" pid="10" name="ICV">
    <vt:lpwstr>6AD315B09DBC44648B73B9EB20EA76F0</vt:lpwstr>
  </property>
</Properties>
</file>